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附件6</w:t>
      </w:r>
    </w:p>
    <w:p>
      <w:pPr>
        <w:jc w:val="left"/>
        <w:rPr>
          <w:rFonts w:hint="eastAsia" w:ascii="楷体_GB2312" w:eastAsia="楷体_GB2312"/>
          <w:bCs/>
          <w:sz w:val="28"/>
        </w:rPr>
      </w:pPr>
      <w:r>
        <w:drawing>
          <wp:anchor distT="0" distB="0" distL="114300" distR="114300" simplePos="0" relativeHeight="251659264" behindDoc="0" locked="0" layoutInCell="1" allowOverlap="1">
            <wp:simplePos x="0" y="0"/>
            <wp:positionH relativeFrom="column">
              <wp:posOffset>-155575</wp:posOffset>
            </wp:positionH>
            <wp:positionV relativeFrom="paragraph">
              <wp:posOffset>60960</wp:posOffset>
            </wp:positionV>
            <wp:extent cx="922020" cy="939800"/>
            <wp:effectExtent l="0" t="0" r="11430" b="12700"/>
            <wp:wrapNone/>
            <wp:docPr id="1" name="图片 2" descr="55265834614751181093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526583461475118109355.png"/>
                    <pic:cNvPicPr>
                      <a:picLocks noChangeAspect="1"/>
                    </pic:cNvPicPr>
                  </pic:nvPicPr>
                  <pic:blipFill>
                    <a:blip r:embed="rId4"/>
                    <a:stretch>
                      <a:fillRect/>
                    </a:stretch>
                  </pic:blipFill>
                  <pic:spPr>
                    <a:xfrm>
                      <a:off x="0" y="0"/>
                      <a:ext cx="922020" cy="939800"/>
                    </a:xfrm>
                    <a:prstGeom prst="rect">
                      <a:avLst/>
                    </a:prstGeom>
                    <a:noFill/>
                    <a:ln>
                      <a:noFill/>
                    </a:ln>
                  </pic:spPr>
                </pic:pic>
              </a:graphicData>
            </a:graphic>
          </wp:anchor>
        </w:drawing>
      </w:r>
    </w:p>
    <w:p>
      <w:pPr>
        <w:wordWrap w:val="0"/>
        <w:jc w:val="right"/>
        <w:rPr>
          <w:rFonts w:hint="eastAsia" w:ascii="楷体_GB2312" w:eastAsia="楷体_GB2312"/>
          <w:sz w:val="28"/>
        </w:rPr>
      </w:pPr>
      <w:r>
        <w:rPr>
          <w:rFonts w:hint="eastAsia" w:ascii="楷体_GB2312" w:eastAsia="楷体_GB2312"/>
          <w:sz w:val="28"/>
          <w:u w:val="single"/>
        </w:rPr>
        <w:t xml:space="preserve">   </w:t>
      </w:r>
      <w:r>
        <w:rPr>
          <w:rFonts w:hint="eastAsia" w:ascii="楷体_GB2312" w:eastAsia="楷体_GB2312"/>
          <w:sz w:val="28"/>
        </w:rPr>
        <w:t>人防质监方案〔 〕第  号</w:t>
      </w:r>
    </w:p>
    <w:p>
      <w:pPr>
        <w:jc w:val="center"/>
        <w:rPr>
          <w:rFonts w:hint="eastAsia" w:ascii="楷体_GB2312" w:eastAsia="楷体_GB2312"/>
          <w:bCs/>
          <w:sz w:val="44"/>
        </w:rPr>
      </w:pPr>
    </w:p>
    <w:p>
      <w:pPr>
        <w:rPr>
          <w:rFonts w:hint="eastAsia" w:ascii="楷体_GB2312" w:eastAsia="楷体_GB2312"/>
          <w:bCs/>
          <w:sz w:val="44"/>
        </w:rPr>
      </w:pPr>
    </w:p>
    <w:p>
      <w:pPr>
        <w:rPr>
          <w:rFonts w:hint="eastAsia" w:ascii="楷体_GB2312" w:eastAsia="楷体_GB2312"/>
          <w:bCs/>
          <w:sz w:val="44"/>
        </w:rPr>
      </w:pPr>
    </w:p>
    <w:p>
      <w:pPr>
        <w:jc w:val="center"/>
        <w:rPr>
          <w:rFonts w:hint="eastAsia" w:ascii="方正小标宋_GBK" w:eastAsia="方正小标宋_GBK"/>
          <w:bCs/>
          <w:sz w:val="40"/>
          <w:szCs w:val="40"/>
        </w:rPr>
      </w:pPr>
      <w:bookmarkStart w:id="0" w:name="_GoBack"/>
      <w:r>
        <w:rPr>
          <w:rFonts w:hint="eastAsia" w:ascii="方正小标宋_GBK" w:eastAsia="方正小标宋_GBK" w:cs="黑体"/>
          <w:bCs/>
          <w:sz w:val="40"/>
          <w:szCs w:val="40"/>
          <w:lang w:bidi="ar-SA"/>
        </w:rPr>
        <w:t>人防工程质量监督方案</w:t>
      </w:r>
    </w:p>
    <w:bookmarkEnd w:id="0"/>
    <w:p>
      <w:pPr>
        <w:rPr>
          <w:rFonts w:hint="eastAsia" w:ascii="楷体_GB2312" w:eastAsia="楷体_GB2312"/>
          <w:sz w:val="44"/>
        </w:rPr>
      </w:pPr>
    </w:p>
    <w:p>
      <w:pPr>
        <w:rPr>
          <w:rFonts w:hint="eastAsia" w:ascii="楷体_GB2312" w:eastAsia="楷体_GB2312"/>
          <w:sz w:val="44"/>
        </w:rPr>
      </w:pPr>
    </w:p>
    <w:p>
      <w:pPr>
        <w:rPr>
          <w:rFonts w:hint="eastAsia" w:ascii="楷体_GB2312" w:eastAsia="楷体_GB2312"/>
          <w:sz w:val="44"/>
        </w:rPr>
      </w:pPr>
    </w:p>
    <w:p>
      <w:pPr>
        <w:ind w:firstLine="640" w:firstLineChars="200"/>
        <w:rPr>
          <w:rFonts w:hint="eastAsia" w:ascii="仿宋_GB2312" w:eastAsia="仿宋_GB2312"/>
          <w:sz w:val="32"/>
          <w:szCs w:val="32"/>
          <w:u w:val="single"/>
        </w:rPr>
      </w:pPr>
      <w:r>
        <w:rPr>
          <w:rFonts w:hint="eastAsia" w:ascii="仿宋_GB2312" w:eastAsia="仿宋_GB2312"/>
          <w:sz w:val="32"/>
        </w:rPr>
        <w:t>项目名称</w:t>
      </w:r>
      <w:r>
        <w:rPr>
          <w:rFonts w:hint="eastAsia" w:ascii="仿宋_GB2312" w:eastAsia="仿宋_GB2312"/>
          <w:sz w:val="32"/>
          <w:szCs w:val="32"/>
          <w:u w:val="single"/>
        </w:rPr>
        <w:t xml:space="preserve">                                  </w:t>
      </w:r>
    </w:p>
    <w:p>
      <w:pPr>
        <w:ind w:firstLine="640" w:firstLineChars="200"/>
        <w:rPr>
          <w:rFonts w:hint="eastAsia" w:ascii="仿宋_GB2312" w:eastAsia="仿宋_GB2312"/>
          <w:sz w:val="32"/>
        </w:rPr>
      </w:pPr>
      <w:r>
        <w:rPr>
          <w:rFonts w:hint="eastAsia" w:ascii="仿宋_GB2312" w:eastAsia="仿宋_GB2312"/>
          <w:sz w:val="32"/>
        </w:rPr>
        <w:t>建设单位</w:t>
      </w:r>
      <w:r>
        <w:rPr>
          <w:rFonts w:hint="eastAsia" w:ascii="仿宋_GB2312" w:eastAsia="仿宋_GB2312"/>
          <w:sz w:val="32"/>
          <w:szCs w:val="32"/>
          <w:u w:val="single"/>
        </w:rPr>
        <w:t xml:space="preserve">                                  </w:t>
      </w:r>
    </w:p>
    <w:p>
      <w:pPr>
        <w:ind w:firstLine="640" w:firstLineChars="200"/>
        <w:rPr>
          <w:rFonts w:hint="eastAsia" w:ascii="仿宋_GB2312" w:eastAsia="仿宋_GB2312"/>
          <w:sz w:val="32"/>
          <w:szCs w:val="32"/>
          <w:u w:val="single"/>
        </w:rPr>
      </w:pPr>
      <w:r>
        <w:rPr>
          <w:rFonts w:hint="eastAsia" w:ascii="仿宋_GB2312" w:eastAsia="仿宋_GB2312"/>
          <w:sz w:val="32"/>
        </w:rPr>
        <w:t>勘察单位</w:t>
      </w:r>
      <w:r>
        <w:rPr>
          <w:rFonts w:hint="eastAsia" w:ascii="仿宋_GB2312" w:eastAsia="仿宋_GB2312"/>
          <w:sz w:val="32"/>
          <w:szCs w:val="32"/>
          <w:u w:val="single"/>
        </w:rPr>
        <w:t xml:space="preserve">      （单建式人防工程填报）      </w:t>
      </w:r>
    </w:p>
    <w:p>
      <w:pPr>
        <w:ind w:firstLine="640" w:firstLineChars="200"/>
        <w:rPr>
          <w:rFonts w:hint="eastAsia" w:ascii="仿宋_GB2312" w:eastAsia="仿宋_GB2312"/>
          <w:sz w:val="32"/>
          <w:szCs w:val="32"/>
          <w:u w:val="single"/>
        </w:rPr>
      </w:pPr>
      <w:r>
        <w:rPr>
          <w:rFonts w:hint="eastAsia" w:ascii="仿宋_GB2312" w:eastAsia="仿宋_GB2312"/>
          <w:sz w:val="32"/>
        </w:rPr>
        <w:t>设计单位</w:t>
      </w:r>
      <w:r>
        <w:rPr>
          <w:rFonts w:hint="eastAsia" w:ascii="仿宋_GB2312" w:eastAsia="仿宋_GB2312"/>
          <w:sz w:val="32"/>
          <w:szCs w:val="32"/>
          <w:u w:val="single"/>
        </w:rPr>
        <w:t xml:space="preserve">                                  </w:t>
      </w:r>
    </w:p>
    <w:p>
      <w:pPr>
        <w:ind w:firstLine="640" w:firstLineChars="200"/>
        <w:rPr>
          <w:rFonts w:hint="eastAsia" w:ascii="仿宋_GB2312" w:eastAsia="仿宋_GB2312"/>
          <w:sz w:val="32"/>
          <w:szCs w:val="32"/>
          <w:u w:val="single"/>
        </w:rPr>
      </w:pPr>
      <w:r>
        <w:rPr>
          <w:rFonts w:hint="eastAsia" w:ascii="仿宋_GB2312" w:eastAsia="仿宋_GB2312"/>
          <w:sz w:val="32"/>
        </w:rPr>
        <w:t>监理单位</w:t>
      </w:r>
      <w:r>
        <w:rPr>
          <w:rFonts w:hint="eastAsia" w:ascii="仿宋_GB2312" w:eastAsia="仿宋_GB2312"/>
          <w:sz w:val="32"/>
          <w:szCs w:val="32"/>
          <w:u w:val="single"/>
        </w:rPr>
        <w:t xml:space="preserve">                                  </w:t>
      </w:r>
    </w:p>
    <w:p>
      <w:pPr>
        <w:ind w:firstLine="640" w:firstLineChars="200"/>
        <w:rPr>
          <w:rFonts w:hint="eastAsia" w:ascii="仿宋_GB2312" w:eastAsia="仿宋_GB2312"/>
          <w:sz w:val="32"/>
          <w:szCs w:val="32"/>
          <w:u w:val="single"/>
        </w:rPr>
      </w:pPr>
      <w:r>
        <w:rPr>
          <w:rFonts w:hint="eastAsia" w:ascii="仿宋_GB2312" w:eastAsia="仿宋_GB2312"/>
          <w:sz w:val="32"/>
        </w:rPr>
        <w:t>施工单位</w:t>
      </w:r>
      <w:r>
        <w:rPr>
          <w:rFonts w:hint="eastAsia" w:ascii="仿宋_GB2312" w:eastAsia="仿宋_GB2312"/>
          <w:sz w:val="32"/>
          <w:szCs w:val="32"/>
          <w:u w:val="single"/>
        </w:rPr>
        <w:t xml:space="preserve">                                  </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jc w:val="center"/>
        <w:rPr>
          <w:rFonts w:hint="eastAsia" w:ascii="仿宋_GB2312" w:eastAsia="仿宋_GB2312"/>
          <w:sz w:val="32"/>
        </w:rPr>
      </w:pPr>
      <w:r>
        <w:rPr>
          <w:rFonts w:hint="eastAsia" w:ascii="仿宋_GB2312" w:eastAsia="仿宋_GB2312"/>
          <w:sz w:val="32"/>
        </w:rPr>
        <w:t>人防工程质量监督机构（盖章）</w:t>
      </w:r>
    </w:p>
    <w:p>
      <w:pPr>
        <w:jc w:val="center"/>
        <w:rPr>
          <w:rFonts w:hint="eastAsia" w:ascii="仿宋_GB2312" w:eastAsia="仿宋_GB2312"/>
          <w:sz w:val="36"/>
          <w:szCs w:val="36"/>
        </w:rPr>
      </w:pPr>
      <w:r>
        <w:rPr>
          <w:rFonts w:hint="eastAsia" w:ascii="仿宋_GB2312" w:eastAsia="仿宋_GB2312"/>
          <w:sz w:val="32"/>
        </w:rPr>
        <w:t>年  月  日</w:t>
      </w:r>
    </w:p>
    <w:p>
      <w:pPr>
        <w:jc w:val="center"/>
        <w:rPr>
          <w:rFonts w:hint="eastAsia" w:ascii="仿宋_GB2312" w:eastAsia="仿宋_GB2312"/>
          <w:sz w:val="32"/>
        </w:rPr>
        <w:sectPr>
          <w:pgSz w:w="11907" w:h="16840"/>
          <w:pgMar w:top="1701" w:right="1361" w:bottom="1418" w:left="1644" w:header="851" w:footer="992" w:gutter="0"/>
          <w:pgNumType w:fmt="numberInDash"/>
          <w:cols w:space="720" w:num="1"/>
          <w:docGrid w:type="lines" w:linePitch="312" w:charSpace="0"/>
        </w:sect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u w:val="single"/>
        </w:rPr>
        <w:t xml:space="preserve">  (建设单位)  </w:t>
      </w:r>
      <w:r>
        <w:rPr>
          <w:rFonts w:hint="eastAsia" w:ascii="仿宋_GB2312" w:eastAsia="仿宋_GB2312"/>
          <w:sz w:val="32"/>
          <w:szCs w:val="32"/>
        </w:rPr>
        <w:t>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日申报的《人防工程质量监督申报表》，受</w:t>
      </w:r>
      <w:r>
        <w:rPr>
          <w:rFonts w:hint="eastAsia" w:ascii="仿宋_GB2312" w:eastAsia="仿宋_GB2312"/>
          <w:sz w:val="32"/>
          <w:szCs w:val="32"/>
          <w:u w:val="single"/>
        </w:rPr>
        <w:t xml:space="preserve">       </w:t>
      </w:r>
      <w:r>
        <w:rPr>
          <w:rFonts w:hint="eastAsia" w:ascii="仿宋_GB2312" w:eastAsia="仿宋_GB2312"/>
          <w:sz w:val="32"/>
          <w:szCs w:val="32"/>
        </w:rPr>
        <w:t>人民防空办公室的委托，本人防工程质量监督机构依据国家法律法规和工程建设标准强制性条文，对</w:t>
      </w:r>
      <w:r>
        <w:rPr>
          <w:rFonts w:hint="eastAsia" w:ascii="仿宋_GB2312" w:eastAsia="仿宋_GB2312"/>
          <w:sz w:val="32"/>
          <w:szCs w:val="32"/>
          <w:u w:val="single"/>
        </w:rPr>
        <w:t xml:space="preserve">           </w:t>
      </w:r>
      <w:r>
        <w:rPr>
          <w:rFonts w:hint="eastAsia" w:ascii="仿宋_GB2312" w:eastAsia="仿宋_GB2312"/>
          <w:sz w:val="32"/>
          <w:szCs w:val="32"/>
        </w:rPr>
        <w:t>项目在人防工程施工中参建各方主体质量行为、工程实体质量和工程竣工验收进行监督检查。为规范工程建设各方的质量行为，保证工程建设质量，特制定如下监督方案。</w:t>
      </w:r>
    </w:p>
    <w:p>
      <w:pPr>
        <w:spacing w:line="540" w:lineRule="exact"/>
        <w:ind w:firstLine="640" w:firstLineChars="200"/>
        <w:rPr>
          <w:rFonts w:hint="eastAsia" w:ascii="黑体" w:eastAsia="黑体"/>
          <w:sz w:val="32"/>
          <w:szCs w:val="32"/>
        </w:rPr>
      </w:pPr>
      <w:r>
        <w:rPr>
          <w:rFonts w:hint="eastAsia" w:ascii="黑体" w:eastAsia="黑体"/>
          <w:sz w:val="32"/>
          <w:szCs w:val="32"/>
        </w:rPr>
        <w:t>一、工程概况</w:t>
      </w:r>
    </w:p>
    <w:p>
      <w:pPr>
        <w:spacing w:line="540" w:lineRule="exact"/>
        <w:ind w:firstLine="640" w:firstLineChars="200"/>
        <w:rPr>
          <w:rFonts w:hint="eastAsia" w:ascii="仿宋_GB2312" w:eastAsia="仿宋_GB2312" w:cs="宋体"/>
          <w:sz w:val="32"/>
          <w:szCs w:val="32"/>
          <w:lang w:bidi="ar-SA"/>
        </w:rPr>
      </w:pPr>
      <w:r>
        <w:rPr>
          <w:rFonts w:hint="eastAsia" w:ascii="仿宋_GB2312" w:eastAsia="仿宋_GB2312"/>
          <w:sz w:val="32"/>
          <w:szCs w:val="32"/>
        </w:rPr>
        <w:t>该项目人防工程为附建式（单建式），防护类别为</w:t>
      </w:r>
      <w:r>
        <w:rPr>
          <w:rFonts w:hint="eastAsia" w:ascii="仿宋_GB2312" w:eastAsia="仿宋_GB2312"/>
          <w:sz w:val="32"/>
          <w:szCs w:val="32"/>
          <w:u w:val="single"/>
        </w:rPr>
        <w:t xml:space="preserve">   </w:t>
      </w:r>
      <w:r>
        <w:rPr>
          <w:rFonts w:hint="eastAsia" w:ascii="仿宋_GB2312" w:eastAsia="仿宋_GB2312"/>
          <w:sz w:val="32"/>
          <w:szCs w:val="32"/>
        </w:rPr>
        <w:t>类，抗力等级为</w:t>
      </w:r>
      <w:r>
        <w:rPr>
          <w:rFonts w:hint="eastAsia" w:ascii="仿宋_GB2312" w:eastAsia="仿宋_GB2312"/>
          <w:sz w:val="32"/>
          <w:szCs w:val="32"/>
          <w:u w:val="single"/>
        </w:rPr>
        <w:t xml:space="preserve">    </w:t>
      </w:r>
      <w:r>
        <w:rPr>
          <w:rFonts w:hint="eastAsia" w:ascii="仿宋_GB2312" w:eastAsia="仿宋_GB2312"/>
          <w:sz w:val="32"/>
          <w:szCs w:val="32"/>
        </w:rPr>
        <w:t>级，战时用途为</w:t>
      </w:r>
      <w:r>
        <w:rPr>
          <w:rFonts w:hint="eastAsia" w:ascii="仿宋_GB2312" w:eastAsia="仿宋_GB2312"/>
          <w:sz w:val="32"/>
          <w:szCs w:val="32"/>
          <w:u w:val="single"/>
        </w:rPr>
        <w:t xml:space="preserve">           </w:t>
      </w:r>
      <w:r>
        <w:rPr>
          <w:rFonts w:hint="eastAsia" w:ascii="仿宋_GB2312" w:eastAsia="仿宋_GB2312"/>
          <w:sz w:val="32"/>
          <w:szCs w:val="32"/>
        </w:rPr>
        <w:t>。地下室共</w:t>
      </w:r>
      <w:r>
        <w:rPr>
          <w:rFonts w:hint="eastAsia" w:ascii="仿宋_GB2312" w:eastAsia="仿宋_GB2312"/>
          <w:sz w:val="32"/>
          <w:szCs w:val="32"/>
          <w:u w:val="single"/>
        </w:rPr>
        <w:t xml:space="preserve">    </w:t>
      </w:r>
      <w:r>
        <w:rPr>
          <w:rFonts w:hint="eastAsia" w:ascii="仿宋_GB2312" w:eastAsia="仿宋_GB2312"/>
          <w:sz w:val="32"/>
          <w:szCs w:val="32"/>
        </w:rPr>
        <w:t>层，人防工程位于地下第</w:t>
      </w:r>
      <w:r>
        <w:rPr>
          <w:rFonts w:hint="eastAsia" w:ascii="仿宋_GB2312" w:eastAsia="仿宋_GB2312"/>
          <w:sz w:val="32"/>
          <w:szCs w:val="32"/>
          <w:u w:val="single"/>
        </w:rPr>
        <w:t xml:space="preserve">    </w:t>
      </w:r>
      <w:r>
        <w:rPr>
          <w:rFonts w:hint="eastAsia" w:ascii="仿宋_GB2312" w:eastAsia="仿宋_GB2312"/>
          <w:sz w:val="32"/>
          <w:szCs w:val="32"/>
        </w:rPr>
        <w:t>层，受监建筑面积为</w:t>
      </w:r>
      <w:r>
        <w:rPr>
          <w:rFonts w:hint="eastAsia" w:ascii="仿宋_GB2312" w:eastAsia="仿宋_GB2312"/>
          <w:sz w:val="32"/>
          <w:szCs w:val="32"/>
          <w:u w:val="single"/>
        </w:rPr>
        <w:t xml:space="preserve">      </w:t>
      </w:r>
      <w:r>
        <w:rPr>
          <w:rFonts w:hint="eastAsia" w:ascii="仿宋_GB2312" w:eastAsia="仿宋_GB2312"/>
          <w:sz w:val="32"/>
          <w:szCs w:val="32"/>
        </w:rPr>
        <w:t>平方米。</w:t>
      </w:r>
    </w:p>
    <w:p>
      <w:pPr>
        <w:spacing w:line="540" w:lineRule="exact"/>
        <w:ind w:firstLine="640" w:firstLineChars="200"/>
        <w:rPr>
          <w:rFonts w:hint="eastAsia" w:ascii="仿宋_GB2312" w:eastAsia="仿宋_GB2312" w:cs="宋体"/>
          <w:b/>
          <w:bCs/>
          <w:sz w:val="32"/>
          <w:szCs w:val="32"/>
          <w:lang w:bidi="ar-SA"/>
        </w:rPr>
      </w:pPr>
      <w:r>
        <w:rPr>
          <w:rFonts w:hint="eastAsia" w:ascii="黑体" w:eastAsia="黑体" w:cs="宋体"/>
          <w:bCs/>
          <w:sz w:val="32"/>
          <w:szCs w:val="32"/>
          <w:lang w:bidi="ar-SA"/>
        </w:rPr>
        <w:t>二、编制依据</w:t>
      </w:r>
    </w:p>
    <w:p>
      <w:pPr>
        <w:spacing w:line="540" w:lineRule="exact"/>
        <w:ind w:firstLine="640" w:firstLineChars="200"/>
        <w:rPr>
          <w:rFonts w:hint="eastAsia" w:ascii="仿宋_GB2312" w:eastAsia="仿宋_GB2312" w:cs="宋体"/>
          <w:iCs/>
          <w:sz w:val="32"/>
          <w:szCs w:val="32"/>
          <w:lang w:bidi="ar-SA"/>
        </w:rPr>
      </w:pPr>
      <w:r>
        <w:rPr>
          <w:rFonts w:hint="eastAsia" w:ascii="仿宋_GB2312" w:eastAsia="仿宋_GB2312" w:cs="宋体"/>
          <w:sz w:val="32"/>
          <w:szCs w:val="32"/>
          <w:lang w:bidi="ar-SA"/>
        </w:rPr>
        <w:t>（一）</w:t>
      </w:r>
      <w:r>
        <w:rPr>
          <w:rFonts w:hint="eastAsia" w:ascii="仿宋_GB2312" w:eastAsia="仿宋_GB2312" w:cs="宋体"/>
          <w:iCs/>
          <w:sz w:val="32"/>
          <w:szCs w:val="32"/>
          <w:lang w:bidi="ar-SA"/>
        </w:rPr>
        <w:t>国家及福建省有关法律法规、强制性标准和规范性文件。</w:t>
      </w:r>
    </w:p>
    <w:p>
      <w:pPr>
        <w:spacing w:line="540" w:lineRule="exact"/>
        <w:ind w:firstLine="640" w:firstLineChars="200"/>
        <w:rPr>
          <w:rFonts w:hint="eastAsia" w:ascii="仿宋_GB2312" w:eastAsia="仿宋_GB2312" w:cs="宋体"/>
          <w:iCs/>
          <w:sz w:val="32"/>
          <w:szCs w:val="32"/>
          <w:lang w:bidi="ar-SA"/>
        </w:rPr>
      </w:pPr>
      <w:r>
        <w:rPr>
          <w:rFonts w:hint="eastAsia" w:ascii="仿宋_GB2312" w:eastAsia="仿宋_GB2312" w:cs="宋体"/>
          <w:sz w:val="32"/>
          <w:szCs w:val="32"/>
          <w:lang w:bidi="ar-SA"/>
        </w:rPr>
        <w:t>（二）</w:t>
      </w:r>
      <w:r>
        <w:rPr>
          <w:rFonts w:hint="eastAsia" w:ascii="仿宋_GB2312" w:eastAsia="仿宋_GB2312" w:cs="宋体"/>
          <w:iCs/>
          <w:sz w:val="32"/>
          <w:szCs w:val="32"/>
          <w:lang w:bidi="ar-SA"/>
        </w:rPr>
        <w:t>已通过施工图审查的设计文件。</w:t>
      </w:r>
    </w:p>
    <w:p>
      <w:pPr>
        <w:spacing w:line="540" w:lineRule="exact"/>
        <w:ind w:firstLine="640" w:firstLineChars="200"/>
        <w:rPr>
          <w:rFonts w:hint="eastAsia" w:ascii="黑体" w:eastAsia="黑体"/>
          <w:sz w:val="32"/>
          <w:szCs w:val="32"/>
        </w:rPr>
      </w:pPr>
      <w:r>
        <w:rPr>
          <w:rFonts w:hint="eastAsia" w:ascii="黑体" w:eastAsia="黑体"/>
          <w:sz w:val="32"/>
          <w:szCs w:val="32"/>
        </w:rPr>
        <w:t>三、参与人防工程建设的各方责任主体应履行的职责</w:t>
      </w:r>
    </w:p>
    <w:p>
      <w:pPr>
        <w:spacing w:line="54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（一）建设单位（代建单位）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1.严格执行人防工程建设管理程序，项目人防审批手续齐全，按规定进行了人防工程施工图专项审查；</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2.按批准的人防工程施工图组织建设，建设过程涉及建设规模、防护标准等重大修改，应当依规办理设计变更手续；</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3.依法必须实行监理的人防工程，应委托具有人防专业资质条件的监理单位实施；</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4.承担人防工程防护（化）设备生产企业应当具备人防资质条件；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5.按规定组织人防工程竣工验收；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6.按规定提交人防工程竣工验收报告等有关资料。</w:t>
      </w:r>
    </w:p>
    <w:p>
      <w:pPr>
        <w:spacing w:line="54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（二）监理单位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1.取得相应人防资质等级并在其许可的范围内承揽人防工程监理业务；</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2.符合《福建省人民防空工程建设监理管理规定》要求，有职责明确的项目监理机构，实行总监理工程师负责制，落实符合要求的人防专业监理人员进驻施工现场；</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3.审核人防工程防护（化）设备生产安装企业资质，按照《建设工程监理规范》的要求，对人防工程施工质量实施监理；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4.按照人防工程质量评定要求，组织对人防工程分项分部单位工程的质量评定；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5.督促施工单位进行人防工程质量问题的整改和反馈工作；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6.负责人防工程质量</w:t>
      </w:r>
      <w:r>
        <w:rPr>
          <w:rFonts w:hint="eastAsia" w:ascii="仿宋_GB2312" w:eastAsia="仿宋_GB2312"/>
          <w:sz w:val="32"/>
          <w:szCs w:val="32"/>
          <w:shd w:val="clear" w:color="auto" w:fill="FFFFFF"/>
        </w:rPr>
        <w:t>控制点</w:t>
      </w:r>
      <w:r>
        <w:rPr>
          <w:rFonts w:hint="eastAsia" w:ascii="仿宋_GB2312" w:eastAsia="仿宋_GB2312"/>
          <w:sz w:val="32"/>
          <w:szCs w:val="32"/>
        </w:rPr>
        <w:t>检查记录电子文档资料按规定传送</w:t>
      </w:r>
      <w:r>
        <w:rPr>
          <w:rFonts w:hint="eastAsia" w:ascii="仿宋_GB2312" w:eastAsia="仿宋_GB2312" w:cs="宋体"/>
          <w:sz w:val="32"/>
          <w:szCs w:val="32"/>
          <w:lang w:bidi="ar-SA"/>
        </w:rPr>
        <w:t>人防工程</w:t>
      </w:r>
      <w:r>
        <w:rPr>
          <w:rFonts w:hint="eastAsia" w:ascii="仿宋_GB2312" w:eastAsia="仿宋_GB2312"/>
          <w:sz w:val="32"/>
          <w:szCs w:val="32"/>
        </w:rPr>
        <w:t>质量监督机构。</w:t>
      </w:r>
    </w:p>
    <w:p>
      <w:pPr>
        <w:spacing w:line="54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（三）施工单位</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1.承担单建式人防工程施工业务的项目经理与中标书一致，并有施工承包合同。如更换项目经理，应将相关文件提交人防主管部门备案；</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2.有职责明确和配套的项目管理机构，项目经理、技术负责人、质检员等专业技术管理人员配套，并具有相应资格及上岗证书；</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3.按照</w:t>
      </w:r>
      <w:r>
        <w:rPr>
          <w:rFonts w:hint="eastAsia" w:ascii="仿宋_GB2312" w:eastAsia="仿宋_GB2312" w:cs="宋体"/>
          <w:sz w:val="32"/>
          <w:szCs w:val="32"/>
          <w:lang w:bidi="ar-SA"/>
        </w:rPr>
        <w:t>《人民防空工程施工及验收规范》（</w:t>
      </w:r>
      <w:r>
        <w:rPr>
          <w:rFonts w:hint="eastAsia" w:ascii="仿宋_GB2312" w:eastAsia="仿宋_GB2312"/>
          <w:sz w:val="32"/>
          <w:szCs w:val="32"/>
        </w:rPr>
        <w:t>GB 50134--2004）和经人防主管部门批准的人防工程设计图纸，编制合理完备的施工组织方案并贯彻执行；</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4.整理人防工程质量控制资料，并按施工进度填报分项、分部、单位工程质量验收记录和隐蔽工程检查验收记录等内业资料，做到真实、完整；</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5.对施工中出现的质量事故按有关要求及时如实上报并认真处理，有严格的质量问题整改措施和事故处理程序。</w:t>
      </w:r>
    </w:p>
    <w:p>
      <w:pPr>
        <w:spacing w:line="540" w:lineRule="exact"/>
        <w:ind w:firstLine="643" w:firstLineChars="200"/>
        <w:rPr>
          <w:rFonts w:hint="eastAsia" w:ascii="楷体_GB2312" w:eastAsia="楷体_GB2312"/>
          <w:b/>
          <w:bCs/>
          <w:sz w:val="32"/>
          <w:szCs w:val="32"/>
        </w:rPr>
      </w:pPr>
      <w:r>
        <w:rPr>
          <w:rFonts w:hint="eastAsia" w:ascii="楷体_GB2312" w:eastAsia="楷体_GB2312"/>
          <w:b/>
          <w:bCs/>
          <w:sz w:val="32"/>
          <w:szCs w:val="32"/>
        </w:rPr>
        <w:t>（四）人防工程防护（化）设备定点生产企业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1.应取得从事人防工程防护设备生产安装和防化设备生产资格；</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2.人防工程防护（化）设备生产安装企业在防护（化）设备</w:t>
      </w:r>
      <w:r>
        <w:rPr>
          <w:rFonts w:hint="eastAsia" w:ascii="仿宋_GB2312" w:eastAsia="仿宋_GB2312" w:cs="宋体"/>
          <w:sz w:val="32"/>
          <w:szCs w:val="32"/>
          <w:lang w:bidi="ar-SA"/>
        </w:rPr>
        <w:t>初次进场施工前5个工作日，向</w:t>
      </w:r>
      <w:r>
        <w:rPr>
          <w:rFonts w:hint="eastAsia" w:ascii="仿宋_GB2312" w:eastAsia="仿宋_GB2312"/>
          <w:sz w:val="32"/>
          <w:szCs w:val="32"/>
        </w:rPr>
        <w:t>人防工程</w:t>
      </w:r>
      <w:r>
        <w:rPr>
          <w:rFonts w:hint="eastAsia" w:ascii="仿宋_GB2312" w:eastAsia="仿宋_GB2312" w:cs="宋体"/>
          <w:sz w:val="32"/>
          <w:szCs w:val="32"/>
          <w:lang w:bidi="ar-SA"/>
        </w:rPr>
        <w:t>质量监督机构填报《人防工程防护（化）设备安装企业承揽项目情况登记表》；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3.承担防护设备安装业务后，应及时掌握土建钢筋绑扎进度情况，编制施工组织设计，配合土建施工按阶段预埋各类防护设备门框及预埋件；</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4.防护（化）设备的产品质量和安装应符合现行国家行业标准《人民防空工程防护设备产品质量与施工验收标准》（RFJ01-2002）和《人民防空工程防护设备试验测试与质量检测标准》（RFJ04-2009）的要求；</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5.按施工进度填报防护（化）设备安装分项工程质量验收记录，参加防护（化）设备安装质量有关阶段的验收，并按规定提交相关资料。</w:t>
      </w:r>
    </w:p>
    <w:p>
      <w:pPr>
        <w:spacing w:line="540" w:lineRule="exact"/>
        <w:ind w:firstLine="640" w:firstLineChars="200"/>
        <w:rPr>
          <w:rFonts w:hint="eastAsia" w:ascii="黑体" w:eastAsia="黑体" w:cs="宋体"/>
          <w:bCs/>
          <w:sz w:val="32"/>
          <w:szCs w:val="32"/>
          <w:lang w:bidi="ar-SA"/>
        </w:rPr>
      </w:pPr>
      <w:r>
        <w:rPr>
          <w:rFonts w:hint="eastAsia" w:ascii="黑体" w:eastAsia="黑体" w:cs="宋体"/>
          <w:bCs/>
          <w:sz w:val="32"/>
          <w:szCs w:val="32"/>
          <w:lang w:bidi="ar-SA"/>
        </w:rPr>
        <w:t>四、质量监督程序、内容、方法</w:t>
      </w:r>
    </w:p>
    <w:p>
      <w:pPr>
        <w:spacing w:line="540" w:lineRule="exact"/>
        <w:ind w:left="0" w:firstLine="643" w:firstLineChars="200"/>
        <w:rPr>
          <w:rFonts w:hint="eastAsia" w:ascii="楷体_GB2312" w:eastAsia="楷体_GB2312"/>
          <w:b/>
          <w:bCs/>
          <w:sz w:val="32"/>
          <w:szCs w:val="32"/>
        </w:rPr>
      </w:pPr>
      <w:r>
        <w:rPr>
          <w:rFonts w:hint="eastAsia" w:ascii="楷体_GB2312" w:eastAsia="楷体_GB2312" w:cs="宋体"/>
          <w:b/>
          <w:bCs/>
          <w:sz w:val="32"/>
          <w:szCs w:val="32"/>
          <w:lang w:bidi="ar-SA"/>
        </w:rPr>
        <w:t>（一）</w:t>
      </w:r>
      <w:r>
        <w:rPr>
          <w:rFonts w:hint="eastAsia" w:ascii="楷体_GB2312" w:eastAsia="楷体_GB2312"/>
          <w:b/>
          <w:bCs/>
          <w:sz w:val="32"/>
          <w:szCs w:val="32"/>
        </w:rPr>
        <w:t>开工前监督</w:t>
      </w:r>
    </w:p>
    <w:p>
      <w:pPr>
        <w:spacing w:line="540" w:lineRule="exact"/>
        <w:ind w:left="0" w:firstLine="640" w:firstLineChars="200"/>
        <w:rPr>
          <w:rFonts w:hint="eastAsia" w:ascii="仿宋_GB2312" w:eastAsia="仿宋_GB2312"/>
          <w:sz w:val="32"/>
          <w:szCs w:val="32"/>
        </w:rPr>
      </w:pPr>
      <w:r>
        <w:rPr>
          <w:rFonts w:hint="eastAsia" w:ascii="仿宋_GB2312" w:eastAsia="仿宋_GB2312" w:cs="宋体"/>
          <w:sz w:val="32"/>
          <w:szCs w:val="32"/>
          <w:lang w:bidi="ar-SA"/>
        </w:rPr>
        <w:t>建设单位应提前3个工作日书面通知人防工程质量监督机构，参加</w:t>
      </w:r>
      <w:r>
        <w:rPr>
          <w:rFonts w:hint="eastAsia" w:ascii="仿宋_GB2312" w:eastAsia="仿宋_GB2312"/>
          <w:sz w:val="32"/>
          <w:szCs w:val="32"/>
        </w:rPr>
        <w:t>召开</w:t>
      </w:r>
      <w:r>
        <w:rPr>
          <w:rFonts w:hint="eastAsia" w:ascii="仿宋_GB2312" w:eastAsia="仿宋_GB2312" w:cs="宋体"/>
          <w:sz w:val="32"/>
          <w:szCs w:val="32"/>
          <w:lang w:bidi="ar-SA"/>
        </w:rPr>
        <w:t>技术交底会或质量预控</w:t>
      </w:r>
      <w:r>
        <w:rPr>
          <w:rFonts w:hint="eastAsia" w:ascii="仿宋_GB2312" w:eastAsia="仿宋_GB2312"/>
          <w:sz w:val="32"/>
          <w:szCs w:val="32"/>
        </w:rPr>
        <w:t>会议，以完成以下工作：</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cs="宋体"/>
          <w:sz w:val="32"/>
          <w:szCs w:val="32"/>
          <w:lang w:bidi="ar-SA"/>
        </w:rPr>
        <w:t>明确质量监督重点内容、程序、方法和人防工程质量控制点以及参建各方应履行的质量责任；</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2.检查参建各方现场组织</w:t>
      </w:r>
      <w:r>
        <w:rPr>
          <w:rFonts w:hint="eastAsia" w:ascii="仿宋_GB2312" w:eastAsia="仿宋_GB2312" w:cs="宋体"/>
          <w:sz w:val="32"/>
          <w:szCs w:val="32"/>
          <w:lang w:bidi="ar-SA"/>
        </w:rPr>
        <w:t>机构</w:t>
      </w:r>
      <w:r>
        <w:rPr>
          <w:rFonts w:hint="eastAsia" w:ascii="仿宋_GB2312" w:eastAsia="仿宋_GB2312"/>
          <w:sz w:val="32"/>
          <w:szCs w:val="32"/>
        </w:rPr>
        <w:t>、人员资格、企业从业不良记录等情况；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3.检查参建各方质量保证体系；</w:t>
      </w:r>
    </w:p>
    <w:p>
      <w:pPr>
        <w:spacing w:line="540" w:lineRule="exact"/>
        <w:ind w:firstLine="640" w:firstLineChars="200"/>
        <w:rPr>
          <w:rFonts w:hint="eastAsia" w:ascii="仿宋_GB2312" w:eastAsia="仿宋_GB2312" w:cs="宋体"/>
          <w:sz w:val="32"/>
          <w:szCs w:val="32"/>
          <w:lang w:bidi="ar-SA"/>
        </w:rPr>
      </w:pPr>
      <w:r>
        <w:rPr>
          <w:rFonts w:hint="eastAsia" w:ascii="仿宋_GB2312" w:eastAsia="仿宋_GB2312"/>
          <w:sz w:val="32"/>
          <w:szCs w:val="32"/>
        </w:rPr>
        <w:t>4.检查施工组织设计、监理实施细则等文件，有关人员的任命文件</w:t>
      </w:r>
      <w:r>
        <w:rPr>
          <w:rFonts w:hint="eastAsia" w:ascii="仿宋_GB2312" w:eastAsia="仿宋_GB2312" w:cs="宋体"/>
          <w:sz w:val="32"/>
          <w:szCs w:val="32"/>
          <w:lang w:bidi="ar-SA"/>
        </w:rPr>
        <w:t>。</w:t>
      </w:r>
    </w:p>
    <w:p>
      <w:pPr>
        <w:spacing w:line="540" w:lineRule="exact"/>
        <w:ind w:firstLine="643" w:firstLineChars="200"/>
        <w:rPr>
          <w:rFonts w:hint="eastAsia" w:ascii="楷体_GB2312" w:eastAsia="楷体_GB2312" w:cs="宋体"/>
          <w:b/>
          <w:bCs/>
          <w:sz w:val="32"/>
          <w:szCs w:val="32"/>
          <w:lang w:bidi="ar-SA"/>
        </w:rPr>
      </w:pPr>
      <w:r>
        <w:rPr>
          <w:rFonts w:hint="eastAsia" w:ascii="楷体_GB2312" w:eastAsia="楷体_GB2312" w:cs="宋体"/>
          <w:b/>
          <w:bCs/>
          <w:sz w:val="32"/>
          <w:szCs w:val="32"/>
          <w:lang w:bidi="ar-SA"/>
        </w:rPr>
        <w:t>（二）施工过程监督</w:t>
      </w:r>
    </w:p>
    <w:p>
      <w:pPr>
        <w:spacing w:line="54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1.人防工程质量控制点的监督检查</w:t>
      </w:r>
    </w:p>
    <w:p>
      <w:pPr>
        <w:spacing w:line="540" w:lineRule="exact"/>
        <w:ind w:firstLine="640" w:firstLineChars="200"/>
        <w:rPr>
          <w:rFonts w:hint="eastAsia" w:ascii="仿宋_GB2312" w:eastAsia="仿宋_GB2312" w:cs="宋体"/>
          <w:sz w:val="32"/>
          <w:szCs w:val="32"/>
          <w:lang w:bidi="ar-SA"/>
        </w:rPr>
      </w:pPr>
      <w:r>
        <w:rPr>
          <w:rFonts w:hint="eastAsia" w:ascii="仿宋_GB2312" w:eastAsia="仿宋_GB2312"/>
          <w:sz w:val="32"/>
          <w:szCs w:val="32"/>
        </w:rPr>
        <w:t>人防工程质量控制点是指涉及主体结构工程、孔口防护工程和重要使用功能部位及工序的质量控制主要节点（如下表）。人防工程质量监督机构对质量控制点的检查，</w:t>
      </w:r>
      <w:r>
        <w:rPr>
          <w:rFonts w:hint="eastAsia" w:ascii="仿宋_GB2312" w:eastAsia="仿宋_GB2312" w:cs="宋体"/>
          <w:sz w:val="32"/>
          <w:szCs w:val="32"/>
          <w:lang w:bidi="ar-SA"/>
        </w:rPr>
        <w:t>采取专项检查和</w:t>
      </w:r>
      <w:r>
        <w:rPr>
          <w:rFonts w:hint="eastAsia" w:ascii="仿宋_GB2312" w:eastAsia="仿宋_GB2312"/>
          <w:sz w:val="32"/>
          <w:szCs w:val="32"/>
        </w:rPr>
        <w:t>每</w:t>
      </w:r>
      <w:r>
        <w:rPr>
          <w:rFonts w:hint="eastAsia" w:ascii="仿宋_GB2312" w:eastAsia="仿宋_GB2312"/>
          <w:strike w:val="0"/>
          <w:dstrike w:val="0"/>
          <w:sz w:val="32"/>
          <w:szCs w:val="32"/>
          <w:lang w:eastAsia="zh-CN"/>
        </w:rPr>
        <w:t>半年</w:t>
      </w:r>
      <w:r>
        <w:rPr>
          <w:rFonts w:hint="eastAsia" w:ascii="仿宋_GB2312" w:eastAsia="仿宋_GB2312" w:cs="宋体"/>
          <w:sz w:val="32"/>
          <w:szCs w:val="32"/>
          <w:lang w:bidi="ar-SA"/>
        </w:rPr>
        <w:t>不定期抽查</w:t>
      </w:r>
      <w:r>
        <w:rPr>
          <w:rFonts w:hint="eastAsia" w:ascii="仿宋_GB2312" w:eastAsia="仿宋_GB2312"/>
          <w:sz w:val="32"/>
          <w:szCs w:val="32"/>
        </w:rPr>
        <w:t>一次的</w:t>
      </w:r>
      <w:r>
        <w:rPr>
          <w:rFonts w:hint="eastAsia" w:ascii="仿宋_GB2312" w:eastAsia="仿宋_GB2312" w:cs="宋体"/>
          <w:sz w:val="32"/>
          <w:szCs w:val="32"/>
          <w:lang w:bidi="ar-SA"/>
        </w:rPr>
        <w:t>方式。</w:t>
      </w:r>
    </w:p>
    <w:p>
      <w:pPr>
        <w:widowControl/>
        <w:spacing w:line="360" w:lineRule="auto"/>
        <w:jc w:val="center"/>
        <w:rPr>
          <w:rFonts w:hint="eastAsia" w:ascii="仿宋_GB2312" w:eastAsia="仿宋_GB2312" w:cs="宋体"/>
          <w:b/>
          <w:bCs/>
          <w:kern w:val="0"/>
          <w:sz w:val="32"/>
          <w:szCs w:val="32"/>
          <w:lang w:bidi="ar-SA"/>
        </w:rPr>
      </w:pPr>
      <w:r>
        <w:rPr>
          <w:rFonts w:hint="eastAsia" w:ascii="仿宋_GB2312" w:eastAsia="仿宋_GB2312" w:cs="宋体"/>
          <w:b/>
          <w:bCs/>
          <w:sz w:val="32"/>
          <w:szCs w:val="32"/>
          <w:lang w:bidi="ar-SA"/>
        </w:rPr>
        <w:t>人防工程质量控制点</w:t>
      </w:r>
    </w:p>
    <w:tbl>
      <w:tblPr>
        <w:tblStyle w:val="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16"/>
        <w:gridCol w:w="2477"/>
        <w:gridCol w:w="3250"/>
        <w:gridCol w:w="1477"/>
        <w:gridCol w:w="1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355" w:hRule="atLeast"/>
        </w:trPr>
        <w:tc>
          <w:tcPr>
            <w:tcW w:w="516" w:type="dxa"/>
            <w:noWrap w:val="0"/>
            <w:tcMar>
              <w:top w:w="15" w:type="dxa"/>
              <w:left w:w="108" w:type="dxa"/>
              <w:right w:w="108" w:type="dxa"/>
            </w:tcMar>
            <w:vAlign w:val="center"/>
          </w:tcPr>
          <w:p>
            <w:pPr>
              <w:widowControl/>
              <w:spacing w:line="400" w:lineRule="exact"/>
              <w:jc w:val="center"/>
              <w:rPr>
                <w:rFonts w:hint="eastAsia" w:ascii="仿宋_GB2312" w:eastAsia="仿宋_GB2312" w:cs="Arial"/>
                <w:sz w:val="30"/>
                <w:szCs w:val="30"/>
                <w:lang w:bidi="ar-SA"/>
              </w:rPr>
            </w:pPr>
            <w:r>
              <w:rPr>
                <w:rFonts w:hint="eastAsia" w:ascii="仿宋_GB2312" w:eastAsia="仿宋_GB2312" w:cs="Arial"/>
                <w:sz w:val="30"/>
                <w:szCs w:val="30"/>
                <w:lang w:bidi="ar-SA"/>
              </w:rPr>
              <w:t>序号</w:t>
            </w:r>
            <w:r>
              <w:rPr>
                <w:rFonts w:hint="eastAsia" w:ascii="仿宋_GB2312" w:eastAsia="仿宋_GB2312"/>
                <w:sz w:val="30"/>
                <w:szCs w:val="30"/>
              </w:rPr>
              <w:t xml:space="preserve"> </w:t>
            </w:r>
          </w:p>
        </w:tc>
        <w:tc>
          <w:tcPr>
            <w:tcW w:w="2477" w:type="dxa"/>
            <w:tcBorders>
              <w:right w:val="single" w:color="auto" w:sz="4" w:space="0"/>
            </w:tcBorders>
            <w:noWrap w:val="0"/>
            <w:tcMar>
              <w:top w:w="15" w:type="dxa"/>
              <w:left w:w="108" w:type="dxa"/>
              <w:right w:w="108" w:type="dxa"/>
            </w:tcMar>
            <w:vAlign w:val="center"/>
          </w:tcPr>
          <w:p>
            <w:pPr>
              <w:widowControl/>
              <w:spacing w:line="400" w:lineRule="exact"/>
              <w:jc w:val="center"/>
              <w:rPr>
                <w:rFonts w:hint="eastAsia" w:ascii="仿宋_GB2312" w:eastAsia="仿宋_GB2312" w:cs="Arial"/>
                <w:sz w:val="30"/>
                <w:szCs w:val="30"/>
                <w:lang w:bidi="ar-SA"/>
              </w:rPr>
            </w:pPr>
            <w:r>
              <w:rPr>
                <w:rFonts w:hint="eastAsia" w:ascii="仿宋_GB2312" w:eastAsia="仿宋_GB2312" w:cs="Arial"/>
                <w:sz w:val="30"/>
                <w:szCs w:val="30"/>
                <w:lang w:bidi="ar-SA"/>
              </w:rPr>
              <w:t>检查节点</w:t>
            </w:r>
            <w:r>
              <w:rPr>
                <w:rFonts w:hint="eastAsia" w:ascii="仿宋_GB2312" w:eastAsia="仿宋_GB2312"/>
                <w:sz w:val="30"/>
                <w:szCs w:val="30"/>
              </w:rPr>
              <w:t xml:space="preserve"> </w:t>
            </w:r>
          </w:p>
        </w:tc>
        <w:tc>
          <w:tcPr>
            <w:tcW w:w="3250" w:type="dxa"/>
            <w:tcBorders>
              <w:left w:val="single" w:color="auto" w:sz="4" w:space="0"/>
            </w:tcBorders>
            <w:noWrap w:val="0"/>
            <w:vAlign w:val="center"/>
          </w:tcPr>
          <w:p>
            <w:pPr>
              <w:widowControl/>
              <w:spacing w:line="400" w:lineRule="exact"/>
              <w:jc w:val="center"/>
              <w:rPr>
                <w:rFonts w:hint="eastAsia" w:ascii="仿宋_GB2312" w:eastAsia="仿宋_GB2312" w:cs="Arial"/>
                <w:sz w:val="30"/>
                <w:szCs w:val="30"/>
                <w:lang w:bidi="ar-SA"/>
              </w:rPr>
            </w:pPr>
            <w:r>
              <w:rPr>
                <w:rFonts w:hint="eastAsia" w:ascii="仿宋_GB2312" w:eastAsia="仿宋_GB2312" w:cs="Arial"/>
                <w:sz w:val="30"/>
                <w:szCs w:val="30"/>
                <w:lang w:bidi="ar-SA"/>
              </w:rPr>
              <w:t>（FJRFGCF-2015-0109）中相关分项评定</w:t>
            </w:r>
          </w:p>
        </w:tc>
        <w:tc>
          <w:tcPr>
            <w:tcW w:w="1477" w:type="dxa"/>
            <w:tcBorders>
              <w:right w:val="single" w:color="auto" w:sz="4" w:space="0"/>
            </w:tcBorders>
            <w:noWrap w:val="0"/>
            <w:tcMar>
              <w:top w:w="15" w:type="dxa"/>
              <w:left w:w="108" w:type="dxa"/>
              <w:right w:w="108" w:type="dxa"/>
            </w:tcMar>
            <w:vAlign w:val="center"/>
          </w:tcPr>
          <w:p>
            <w:pPr>
              <w:widowControl/>
              <w:spacing w:line="400" w:lineRule="exact"/>
              <w:jc w:val="center"/>
              <w:rPr>
                <w:rFonts w:hint="eastAsia" w:ascii="仿宋_GB2312" w:eastAsia="仿宋_GB2312" w:cs="Arial"/>
                <w:sz w:val="30"/>
                <w:szCs w:val="30"/>
                <w:lang w:bidi="ar-SA"/>
              </w:rPr>
            </w:pPr>
            <w:r>
              <w:rPr>
                <w:rFonts w:hint="eastAsia" w:ascii="仿宋_GB2312" w:eastAsia="仿宋_GB2312" w:cs="Arial"/>
                <w:sz w:val="30"/>
                <w:szCs w:val="30"/>
                <w:lang w:bidi="ar-SA"/>
              </w:rPr>
              <w:t>检查方式</w:t>
            </w:r>
          </w:p>
        </w:tc>
        <w:tc>
          <w:tcPr>
            <w:tcW w:w="1305" w:type="dxa"/>
            <w:tcBorders>
              <w:left w:val="single" w:color="auto" w:sz="4" w:space="0"/>
            </w:tcBorders>
            <w:noWrap w:val="0"/>
            <w:vAlign w:val="center"/>
          </w:tcPr>
          <w:p>
            <w:pPr>
              <w:widowControl/>
              <w:spacing w:line="400" w:lineRule="exact"/>
              <w:jc w:val="center"/>
              <w:rPr>
                <w:rFonts w:hint="eastAsia" w:ascii="仿宋_GB2312" w:eastAsia="仿宋_GB2312" w:cs="Arial"/>
                <w:sz w:val="30"/>
                <w:szCs w:val="30"/>
                <w:lang w:bidi="ar-SA"/>
              </w:rPr>
            </w:pPr>
            <w:r>
              <w:rPr>
                <w:rFonts w:hint="eastAsia" w:ascii="仿宋_GB2312" w:eastAsia="仿宋_GB2312" w:cs="Arial"/>
                <w:sz w:val="30"/>
                <w:szCs w:val="30"/>
                <w:lang w:bidi="ar-SA"/>
              </w:rPr>
              <w:t>提前通知时段（工作日）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tcMar>
              <w:top w:w="15" w:type="dxa"/>
              <w:left w:w="108" w:type="dxa"/>
              <w:right w:w="108" w:type="dxa"/>
            </w:tcMar>
            <w:vAlign w:val="center"/>
          </w:tcPr>
          <w:p>
            <w:pPr>
              <w:widowControl/>
              <w:jc w:val="center"/>
              <w:rPr>
                <w:rFonts w:hint="eastAsia" w:ascii="仿宋_GB2312" w:eastAsia="仿宋_GB2312" w:cs="Arial"/>
                <w:kern w:val="0"/>
                <w:sz w:val="30"/>
                <w:szCs w:val="30"/>
                <w:lang w:bidi="ar-SA"/>
              </w:rPr>
            </w:pPr>
            <w:r>
              <w:rPr>
                <w:rFonts w:hint="eastAsia" w:ascii="仿宋_GB2312" w:eastAsia="仿宋_GB2312"/>
                <w:kern w:val="0"/>
                <w:sz w:val="30"/>
                <w:szCs w:val="30"/>
              </w:rPr>
              <w:t>1</w:t>
            </w:r>
            <w:r>
              <w:rPr>
                <w:rFonts w:hint="eastAsia" w:ascii="仿宋_GB2312" w:eastAsia="仿宋_GB2312"/>
                <w:sz w:val="30"/>
                <w:szCs w:val="30"/>
              </w:rPr>
              <w:t xml:space="preserve"> </w:t>
            </w:r>
          </w:p>
        </w:tc>
        <w:tc>
          <w:tcPr>
            <w:tcW w:w="2477" w:type="dxa"/>
            <w:tcBorders>
              <w:right w:val="single" w:color="auto" w:sz="4" w:space="0"/>
            </w:tcBorders>
            <w:noWrap w:val="0"/>
            <w:tcMar>
              <w:top w:w="15" w:type="dxa"/>
              <w:left w:w="108" w:type="dxa"/>
              <w:right w:w="108" w:type="dxa"/>
            </w:tcMar>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技术交底</w:t>
            </w:r>
            <w:r>
              <w:rPr>
                <w:rFonts w:hint="eastAsia" w:ascii="仿宋_GB2312" w:eastAsia="仿宋_GB2312"/>
                <w:sz w:val="30"/>
                <w:szCs w:val="30"/>
              </w:rPr>
              <w:t>会议</w:t>
            </w:r>
            <w:r>
              <w:rPr>
                <w:rFonts w:hint="eastAsia" w:ascii="仿宋_GB2312" w:eastAsia="仿宋_GB2312" w:cs="宋体"/>
                <w:sz w:val="30"/>
                <w:szCs w:val="30"/>
                <w:lang w:bidi="ar-SA"/>
              </w:rPr>
              <w:t>或质量预控</w:t>
            </w:r>
            <w:r>
              <w:rPr>
                <w:rFonts w:hint="eastAsia" w:ascii="仿宋_GB2312" w:eastAsia="仿宋_GB2312"/>
                <w:sz w:val="30"/>
                <w:szCs w:val="30"/>
              </w:rPr>
              <w:t>会议</w:t>
            </w:r>
          </w:p>
        </w:tc>
        <w:tc>
          <w:tcPr>
            <w:tcW w:w="3250" w:type="dxa"/>
            <w:tcBorders>
              <w:left w:val="single" w:color="auto" w:sz="4" w:space="0"/>
            </w:tcBorders>
            <w:noWrap w:val="0"/>
            <w:vAlign w:val="center"/>
          </w:tcPr>
          <w:p>
            <w:pPr>
              <w:widowControl/>
              <w:jc w:val="left"/>
              <w:rPr>
                <w:rFonts w:hint="eastAsia" w:ascii="仿宋_GB2312" w:eastAsia="仿宋_GB2312" w:cs="Arial"/>
                <w:kern w:val="0"/>
                <w:sz w:val="30"/>
                <w:szCs w:val="30"/>
                <w:lang w:bidi="ar-SA"/>
              </w:rPr>
            </w:pPr>
          </w:p>
        </w:tc>
        <w:tc>
          <w:tcPr>
            <w:tcW w:w="1477" w:type="dxa"/>
            <w:tcBorders>
              <w:right w:val="single" w:color="auto" w:sz="4" w:space="0"/>
            </w:tcBorders>
            <w:noWrap w:val="0"/>
            <w:tcMar>
              <w:top w:w="15" w:type="dxa"/>
              <w:left w:w="108" w:type="dxa"/>
              <w:right w:w="108" w:type="dxa"/>
            </w:tcMar>
            <w:vAlign w:val="center"/>
          </w:tcPr>
          <w:p>
            <w:pPr>
              <w:widowControl/>
              <w:jc w:val="center"/>
              <w:rPr>
                <w:rFonts w:hint="eastAsia" w:ascii="仿宋_GB2312" w:eastAsia="仿宋_GB2312" w:cs="Arial"/>
                <w:b/>
                <w:bCs/>
                <w:kern w:val="0"/>
                <w:sz w:val="30"/>
                <w:szCs w:val="30"/>
                <w:lang w:bidi="ar-SA"/>
              </w:rPr>
            </w:pPr>
            <w:r>
              <w:rPr>
                <w:rFonts w:hint="eastAsia" w:ascii="仿宋_GB2312" w:eastAsia="仿宋_GB2312" w:cs="宋体"/>
                <w:b/>
                <w:bCs/>
                <w:sz w:val="30"/>
                <w:szCs w:val="30"/>
                <w:lang w:bidi="ar-SA"/>
              </w:rPr>
              <w:t>专项检查</w:t>
            </w:r>
          </w:p>
        </w:tc>
        <w:tc>
          <w:tcPr>
            <w:tcW w:w="1305" w:type="dxa"/>
            <w:tcBorders>
              <w:left w:val="single" w:color="auto" w:sz="4" w:space="0"/>
            </w:tcBorders>
            <w:noWrap w:val="0"/>
            <w:vAlign w:val="center"/>
          </w:tcPr>
          <w:p>
            <w:pPr>
              <w:widowControl/>
              <w:jc w:val="center"/>
              <w:rPr>
                <w:rFonts w:hint="eastAsia" w:ascii="仿宋_GB2312" w:eastAsia="仿宋_GB2312" w:cs="宋体"/>
                <w:b/>
                <w:bCs/>
                <w:sz w:val="30"/>
                <w:szCs w:val="30"/>
                <w:lang w:bidi="ar-SA"/>
              </w:rPr>
            </w:pPr>
            <w:r>
              <w:rPr>
                <w:rFonts w:hint="eastAsia" w:ascii="仿宋_GB2312" w:eastAsia="仿宋_GB2312" w:cs="宋体"/>
                <w:b/>
                <w:bCs/>
                <w:sz w:val="30"/>
                <w:szCs w:val="30"/>
                <w:lang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tcMar>
              <w:top w:w="15" w:type="dxa"/>
              <w:left w:w="108" w:type="dxa"/>
              <w:right w:w="108" w:type="dxa"/>
            </w:tcMar>
            <w:vAlign w:val="center"/>
          </w:tcPr>
          <w:p>
            <w:pPr>
              <w:widowControl/>
              <w:jc w:val="center"/>
              <w:rPr>
                <w:rFonts w:hint="eastAsia" w:ascii="仿宋_GB2312" w:eastAsia="仿宋_GB2312" w:cs="Arial"/>
                <w:kern w:val="0"/>
                <w:sz w:val="30"/>
                <w:szCs w:val="30"/>
                <w:lang w:bidi="ar-SA"/>
              </w:rPr>
            </w:pPr>
            <w:r>
              <w:rPr>
                <w:rFonts w:hint="eastAsia" w:ascii="仿宋_GB2312" w:eastAsia="仿宋_GB2312"/>
                <w:kern w:val="0"/>
                <w:sz w:val="30"/>
                <w:szCs w:val="30"/>
              </w:rPr>
              <w:t>2</w:t>
            </w:r>
            <w:r>
              <w:rPr>
                <w:rFonts w:hint="eastAsia" w:ascii="仿宋_GB2312" w:eastAsia="仿宋_GB2312"/>
                <w:sz w:val="30"/>
                <w:szCs w:val="30"/>
              </w:rPr>
              <w:t xml:space="preserve"> </w:t>
            </w:r>
          </w:p>
        </w:tc>
        <w:tc>
          <w:tcPr>
            <w:tcW w:w="2477" w:type="dxa"/>
            <w:tcBorders>
              <w:right w:val="single" w:color="auto" w:sz="4" w:space="0"/>
            </w:tcBorders>
            <w:noWrap w:val="0"/>
            <w:tcMar>
              <w:top w:w="15" w:type="dxa"/>
              <w:left w:w="108" w:type="dxa"/>
              <w:right w:w="108" w:type="dxa"/>
            </w:tcMar>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单建式人防工程基础（桩基）验收</w:t>
            </w:r>
          </w:p>
        </w:tc>
        <w:tc>
          <w:tcPr>
            <w:tcW w:w="3250" w:type="dxa"/>
            <w:tcBorders>
              <w:left w:val="single" w:color="auto" w:sz="4" w:space="0"/>
            </w:tcBorders>
            <w:noWrap w:val="0"/>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（参照建筑工程相关评定表）</w:t>
            </w:r>
          </w:p>
        </w:tc>
        <w:tc>
          <w:tcPr>
            <w:tcW w:w="1477" w:type="dxa"/>
            <w:tcBorders>
              <w:right w:val="single" w:color="auto" w:sz="4" w:space="0"/>
            </w:tcBorders>
            <w:noWrap w:val="0"/>
            <w:tcMar>
              <w:top w:w="15" w:type="dxa"/>
              <w:left w:w="108" w:type="dxa"/>
              <w:right w:w="108" w:type="dxa"/>
            </w:tcMar>
            <w:vAlign w:val="center"/>
          </w:tcPr>
          <w:p>
            <w:pPr>
              <w:widowControl/>
              <w:jc w:val="center"/>
              <w:rPr>
                <w:rFonts w:hint="eastAsia" w:ascii="仿宋_GB2312" w:eastAsia="仿宋_GB2312" w:cs="Arial"/>
                <w:kern w:val="0"/>
                <w:sz w:val="30"/>
                <w:szCs w:val="30"/>
                <w:lang w:bidi="ar-SA"/>
              </w:rPr>
            </w:pPr>
            <w:r>
              <w:rPr>
                <w:rFonts w:hint="eastAsia" w:ascii="仿宋_GB2312" w:eastAsia="仿宋_GB2312" w:cs="宋体"/>
                <w:b/>
                <w:bCs/>
                <w:sz w:val="30"/>
                <w:szCs w:val="30"/>
                <w:lang w:bidi="ar-SA"/>
              </w:rPr>
              <w:t>专项检查</w:t>
            </w:r>
          </w:p>
        </w:tc>
        <w:tc>
          <w:tcPr>
            <w:tcW w:w="1305" w:type="dxa"/>
            <w:tcBorders>
              <w:left w:val="single" w:color="auto" w:sz="4" w:space="0"/>
            </w:tcBorders>
            <w:noWrap w:val="0"/>
            <w:vAlign w:val="center"/>
          </w:tcPr>
          <w:p>
            <w:pPr>
              <w:widowControl/>
              <w:jc w:val="center"/>
              <w:rPr>
                <w:rFonts w:hint="eastAsia" w:ascii="仿宋_GB2312" w:eastAsia="仿宋_GB2312" w:cs="宋体"/>
                <w:sz w:val="30"/>
                <w:szCs w:val="30"/>
                <w:lang w:bidi="ar-SA"/>
              </w:rPr>
            </w:pPr>
            <w:r>
              <w:rPr>
                <w:rFonts w:hint="eastAsia" w:ascii="仿宋_GB2312" w:eastAsia="仿宋_GB2312" w:cs="宋体"/>
                <w:sz w:val="30"/>
                <w:szCs w:val="30"/>
                <w:lang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vAlign w:val="center"/>
          </w:tcPr>
          <w:p>
            <w:pPr>
              <w:widowControl/>
              <w:jc w:val="center"/>
              <w:rPr>
                <w:rFonts w:hint="eastAsia" w:ascii="仿宋_GB2312" w:eastAsia="仿宋_GB2312"/>
                <w:kern w:val="0"/>
                <w:sz w:val="30"/>
                <w:szCs w:val="30"/>
              </w:rPr>
            </w:pPr>
            <w:r>
              <w:rPr>
                <w:rFonts w:hint="eastAsia" w:ascii="仿宋_GB2312" w:eastAsia="仿宋_GB2312"/>
                <w:kern w:val="0"/>
                <w:sz w:val="30"/>
                <w:szCs w:val="30"/>
              </w:rPr>
              <w:t>3</w:t>
            </w:r>
          </w:p>
        </w:tc>
        <w:tc>
          <w:tcPr>
            <w:tcW w:w="2477" w:type="dxa"/>
            <w:tcBorders>
              <w:right w:val="single" w:color="auto" w:sz="4" w:space="0"/>
            </w:tcBorders>
            <w:noWrap w:val="0"/>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单建式人防工程基坑开挖及支护</w:t>
            </w:r>
          </w:p>
        </w:tc>
        <w:tc>
          <w:tcPr>
            <w:tcW w:w="3250" w:type="dxa"/>
            <w:tcBorders>
              <w:left w:val="single" w:color="auto" w:sz="4" w:space="0"/>
            </w:tcBorders>
            <w:noWrap w:val="0"/>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（参照建筑工程相关评定表）</w:t>
            </w:r>
          </w:p>
        </w:tc>
        <w:tc>
          <w:tcPr>
            <w:tcW w:w="1477" w:type="dxa"/>
            <w:tcBorders>
              <w:right w:val="single" w:color="auto" w:sz="4" w:space="0"/>
            </w:tcBorders>
            <w:noWrap w:val="0"/>
            <w:vAlign w:val="center"/>
          </w:tcPr>
          <w:p>
            <w:pPr>
              <w:widowControl/>
              <w:jc w:val="center"/>
              <w:rPr>
                <w:rFonts w:hint="eastAsia" w:ascii="仿宋_GB2312" w:eastAsia="仿宋_GB2312" w:cs="宋体"/>
                <w:sz w:val="30"/>
                <w:szCs w:val="30"/>
                <w:lang w:bidi="ar-SA"/>
              </w:rPr>
            </w:pPr>
            <w:r>
              <w:rPr>
                <w:rFonts w:hint="eastAsia" w:ascii="仿宋_GB2312" w:eastAsia="仿宋_GB2312" w:cs="宋体"/>
                <w:b/>
                <w:bCs/>
                <w:sz w:val="30"/>
                <w:szCs w:val="30"/>
                <w:lang w:bidi="ar-SA"/>
              </w:rPr>
              <w:t>专项检查</w:t>
            </w:r>
          </w:p>
        </w:tc>
        <w:tc>
          <w:tcPr>
            <w:tcW w:w="1305" w:type="dxa"/>
            <w:tcBorders>
              <w:left w:val="single" w:color="auto" w:sz="4" w:space="0"/>
            </w:tcBorders>
            <w:noWrap w:val="0"/>
            <w:vAlign w:val="center"/>
          </w:tcPr>
          <w:p>
            <w:pPr>
              <w:widowControl/>
              <w:jc w:val="center"/>
              <w:rPr>
                <w:rFonts w:hint="eastAsia" w:ascii="仿宋_GB2312" w:eastAsia="仿宋_GB2312" w:cs="宋体"/>
                <w:sz w:val="30"/>
                <w:szCs w:val="30"/>
                <w:lang w:bidi="ar-SA"/>
              </w:rPr>
            </w:pPr>
            <w:r>
              <w:rPr>
                <w:rFonts w:hint="eastAsia" w:ascii="仿宋_GB2312" w:eastAsia="仿宋_GB2312" w:cs="宋体"/>
                <w:sz w:val="30"/>
                <w:szCs w:val="30"/>
                <w:lang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vAlign w:val="center"/>
          </w:tcPr>
          <w:p>
            <w:pPr>
              <w:widowControl/>
              <w:jc w:val="center"/>
              <w:rPr>
                <w:rFonts w:hint="eastAsia" w:ascii="仿宋_GB2312" w:eastAsia="仿宋_GB2312"/>
                <w:kern w:val="0"/>
                <w:sz w:val="30"/>
                <w:szCs w:val="30"/>
              </w:rPr>
            </w:pPr>
            <w:r>
              <w:rPr>
                <w:rFonts w:hint="eastAsia" w:ascii="仿宋_GB2312" w:eastAsia="仿宋_GB2312"/>
                <w:kern w:val="0"/>
                <w:sz w:val="30"/>
                <w:szCs w:val="30"/>
              </w:rPr>
              <w:t>4</w:t>
            </w:r>
          </w:p>
        </w:tc>
        <w:tc>
          <w:tcPr>
            <w:tcW w:w="2477" w:type="dxa"/>
            <w:tcBorders>
              <w:right w:val="single" w:color="auto" w:sz="4" w:space="0"/>
            </w:tcBorders>
            <w:noWrap w:val="0"/>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防护（化）设备进场检查验收</w:t>
            </w:r>
          </w:p>
        </w:tc>
        <w:tc>
          <w:tcPr>
            <w:tcW w:w="3250" w:type="dxa"/>
            <w:tcBorders>
              <w:left w:val="single" w:color="auto" w:sz="4" w:space="0"/>
            </w:tcBorders>
            <w:noWrap w:val="0"/>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《工程材料/构配件/设备报审表》</w:t>
            </w:r>
          </w:p>
        </w:tc>
        <w:tc>
          <w:tcPr>
            <w:tcW w:w="1477" w:type="dxa"/>
            <w:tcBorders>
              <w:right w:val="single" w:color="auto" w:sz="4" w:space="0"/>
            </w:tcBorders>
            <w:noWrap w:val="0"/>
            <w:vAlign w:val="center"/>
          </w:tcPr>
          <w:p>
            <w:pPr>
              <w:widowControl/>
              <w:jc w:val="center"/>
              <w:rPr>
                <w:rFonts w:hint="eastAsia" w:ascii="仿宋_GB2312" w:eastAsia="仿宋_GB2312" w:cs="宋体"/>
                <w:sz w:val="30"/>
                <w:szCs w:val="30"/>
                <w:lang w:bidi="ar-SA"/>
              </w:rPr>
            </w:pPr>
            <w:r>
              <w:rPr>
                <w:rFonts w:hint="eastAsia" w:ascii="仿宋_GB2312" w:eastAsia="仿宋_GB2312" w:cs="宋体"/>
                <w:sz w:val="30"/>
                <w:szCs w:val="30"/>
                <w:lang w:bidi="ar-SA"/>
              </w:rPr>
              <w:t>不定期</w:t>
            </w:r>
          </w:p>
          <w:p>
            <w:pPr>
              <w:widowControl/>
              <w:jc w:val="center"/>
              <w:rPr>
                <w:rFonts w:hint="eastAsia" w:ascii="仿宋_GB2312" w:eastAsia="仿宋_GB2312" w:cs="宋体"/>
                <w:sz w:val="30"/>
                <w:szCs w:val="30"/>
                <w:lang w:bidi="ar-SA"/>
              </w:rPr>
            </w:pPr>
            <w:r>
              <w:rPr>
                <w:rFonts w:hint="eastAsia" w:ascii="仿宋_GB2312" w:eastAsia="仿宋_GB2312" w:cs="宋体"/>
                <w:sz w:val="30"/>
                <w:szCs w:val="30"/>
                <w:lang w:bidi="ar-SA"/>
              </w:rPr>
              <w:t>抽查</w:t>
            </w:r>
          </w:p>
        </w:tc>
        <w:tc>
          <w:tcPr>
            <w:tcW w:w="1305" w:type="dxa"/>
            <w:tcBorders>
              <w:left w:val="single" w:color="auto" w:sz="4" w:space="0"/>
            </w:tcBorders>
            <w:noWrap w:val="0"/>
            <w:vAlign w:val="center"/>
          </w:tcPr>
          <w:p>
            <w:pPr>
              <w:widowControl/>
              <w:jc w:val="center"/>
              <w:rPr>
                <w:rFonts w:hint="eastAsia" w:ascii="仿宋_GB2312" w:eastAsia="仿宋_GB2312" w:cs="宋体"/>
                <w:sz w:val="30"/>
                <w:szCs w:val="30"/>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vAlign w:val="center"/>
          </w:tcPr>
          <w:p>
            <w:pPr>
              <w:widowControl/>
              <w:jc w:val="center"/>
              <w:rPr>
                <w:rFonts w:hint="eastAsia" w:ascii="仿宋_GB2312" w:eastAsia="仿宋_GB2312"/>
                <w:kern w:val="0"/>
                <w:sz w:val="30"/>
                <w:szCs w:val="30"/>
              </w:rPr>
            </w:pPr>
            <w:r>
              <w:rPr>
                <w:rFonts w:hint="eastAsia" w:ascii="仿宋_GB2312" w:eastAsia="仿宋_GB2312"/>
                <w:kern w:val="0"/>
                <w:sz w:val="30"/>
                <w:szCs w:val="30"/>
              </w:rPr>
              <w:t>5</w:t>
            </w:r>
          </w:p>
        </w:tc>
        <w:tc>
          <w:tcPr>
            <w:tcW w:w="2477" w:type="dxa"/>
            <w:tcBorders>
              <w:right w:val="single" w:color="auto" w:sz="4" w:space="0"/>
            </w:tcBorders>
            <w:noWrap w:val="0"/>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底板钢筋、人防设备预埋件验收</w:t>
            </w:r>
            <w:r>
              <w:rPr>
                <w:rFonts w:hint="eastAsia" w:ascii="仿宋_GB2312" w:eastAsia="仿宋_GB2312"/>
                <w:sz w:val="30"/>
                <w:szCs w:val="30"/>
              </w:rPr>
              <w:t xml:space="preserve"> </w:t>
            </w:r>
          </w:p>
        </w:tc>
        <w:tc>
          <w:tcPr>
            <w:tcW w:w="3250" w:type="dxa"/>
            <w:tcBorders>
              <w:left w:val="single" w:color="auto" w:sz="4" w:space="0"/>
            </w:tcBorders>
            <w:noWrap w:val="0"/>
            <w:vAlign w:val="center"/>
          </w:tcPr>
          <w:p>
            <w:pPr>
              <w:widowControl/>
              <w:jc w:val="left"/>
              <w:rPr>
                <w:rFonts w:hint="eastAsia" w:ascii="仿宋_GB2312" w:eastAsia="仿宋_GB2312" w:cs="Arial"/>
                <w:kern w:val="0"/>
                <w:sz w:val="30"/>
                <w:szCs w:val="30"/>
                <w:lang w:bidi="ar-SA"/>
              </w:rPr>
            </w:pPr>
            <w:r>
              <w:rPr>
                <w:rFonts w:hint="eastAsia" w:ascii="仿宋_GB2312" w:eastAsia="仿宋_GB2312" w:cs="Arial"/>
                <w:kern w:val="0"/>
                <w:sz w:val="30"/>
                <w:szCs w:val="30"/>
                <w:lang w:bidi="ar-SA"/>
              </w:rPr>
              <w:t>表1-1-2、表1-3-2</w:t>
            </w:r>
          </w:p>
        </w:tc>
        <w:tc>
          <w:tcPr>
            <w:tcW w:w="1477" w:type="dxa"/>
            <w:tcBorders>
              <w:right w:val="single" w:color="auto" w:sz="4" w:space="0"/>
            </w:tcBorders>
            <w:noWrap w:val="0"/>
            <w:vAlign w:val="center"/>
          </w:tcPr>
          <w:p>
            <w:pPr>
              <w:widowControl/>
              <w:jc w:val="center"/>
              <w:rPr>
                <w:rFonts w:hint="eastAsia" w:ascii="仿宋_GB2312" w:eastAsia="仿宋_GB2312" w:cs="宋体"/>
                <w:sz w:val="30"/>
                <w:szCs w:val="30"/>
                <w:lang w:bidi="ar-SA"/>
              </w:rPr>
            </w:pPr>
            <w:r>
              <w:rPr>
                <w:rFonts w:hint="eastAsia" w:ascii="仿宋_GB2312" w:eastAsia="仿宋_GB2312" w:cs="宋体"/>
                <w:sz w:val="30"/>
                <w:szCs w:val="30"/>
                <w:lang w:bidi="ar-SA"/>
              </w:rPr>
              <w:t>不定期</w:t>
            </w:r>
          </w:p>
          <w:p>
            <w:pPr>
              <w:widowControl/>
              <w:jc w:val="center"/>
              <w:rPr>
                <w:rFonts w:hint="eastAsia" w:ascii="仿宋_GB2312" w:eastAsia="仿宋_GB2312" w:cs="Arial"/>
                <w:kern w:val="0"/>
                <w:sz w:val="30"/>
                <w:szCs w:val="30"/>
                <w:lang w:bidi="ar-SA"/>
              </w:rPr>
            </w:pPr>
            <w:r>
              <w:rPr>
                <w:rFonts w:hint="eastAsia" w:ascii="仿宋_GB2312" w:eastAsia="仿宋_GB2312" w:cs="宋体"/>
                <w:sz w:val="30"/>
                <w:szCs w:val="30"/>
                <w:lang w:bidi="ar-SA"/>
              </w:rPr>
              <w:t>抽查</w:t>
            </w:r>
          </w:p>
        </w:tc>
        <w:tc>
          <w:tcPr>
            <w:tcW w:w="1305" w:type="dxa"/>
            <w:tcBorders>
              <w:left w:val="single" w:color="auto" w:sz="4" w:space="0"/>
            </w:tcBorders>
            <w:noWrap w:val="0"/>
            <w:vAlign w:val="center"/>
          </w:tcPr>
          <w:p>
            <w:pPr>
              <w:widowControl/>
              <w:jc w:val="center"/>
              <w:rPr>
                <w:rFonts w:hint="eastAsia" w:ascii="仿宋_GB2312" w:eastAsia="仿宋_GB2312" w:cs="宋体"/>
                <w:sz w:val="30"/>
                <w:szCs w:val="30"/>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tcMar>
              <w:top w:w="15" w:type="dxa"/>
              <w:left w:w="108" w:type="dxa"/>
              <w:right w:w="108" w:type="dxa"/>
            </w:tcMar>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6</w:t>
            </w:r>
          </w:p>
        </w:tc>
        <w:tc>
          <w:tcPr>
            <w:tcW w:w="2477" w:type="dxa"/>
            <w:tcBorders>
              <w:right w:val="single" w:color="auto" w:sz="4" w:space="0"/>
            </w:tcBorders>
            <w:noWrap w:val="0"/>
            <w:tcMar>
              <w:top w:w="15" w:type="dxa"/>
              <w:left w:w="108" w:type="dxa"/>
              <w:right w:w="108" w:type="dxa"/>
            </w:tcMar>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 xml:space="preserve">墙板钢筋、侧墙人防设备预埋件验收 </w:t>
            </w:r>
          </w:p>
        </w:tc>
        <w:tc>
          <w:tcPr>
            <w:tcW w:w="3250" w:type="dxa"/>
            <w:tcBorders>
              <w:lef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表1-1-3、表1-1-5、表1-2-1、表1-2-2、表1-3-1、表1-4-7、表1-5-2</w:t>
            </w:r>
          </w:p>
        </w:tc>
        <w:tc>
          <w:tcPr>
            <w:tcW w:w="1477" w:type="dxa"/>
            <w:tcBorders>
              <w:right w:val="single" w:color="auto" w:sz="4" w:space="0"/>
            </w:tcBorders>
            <w:noWrap w:val="0"/>
            <w:tcMar>
              <w:top w:w="15" w:type="dxa"/>
              <w:left w:w="108" w:type="dxa"/>
              <w:right w:w="108" w:type="dxa"/>
            </w:tcMar>
            <w:vAlign w:val="center"/>
          </w:tcPr>
          <w:p>
            <w:pPr>
              <w:spacing w:line="400" w:lineRule="exact"/>
              <w:jc w:val="center"/>
              <w:rPr>
                <w:rFonts w:hint="eastAsia" w:ascii="仿宋_GB2312" w:eastAsia="仿宋_GB2312" w:cs="Arial"/>
                <w:b/>
                <w:bCs/>
                <w:sz w:val="30"/>
                <w:szCs w:val="30"/>
                <w:lang w:bidi="ar-SA"/>
              </w:rPr>
            </w:pPr>
            <w:r>
              <w:rPr>
                <w:rFonts w:hint="eastAsia" w:ascii="仿宋_GB2312" w:eastAsia="仿宋_GB2312" w:cs="宋体"/>
                <w:b/>
                <w:bCs/>
                <w:sz w:val="30"/>
                <w:szCs w:val="30"/>
                <w:lang w:bidi="ar-SA"/>
              </w:rPr>
              <w:t>专项检查</w:t>
            </w:r>
          </w:p>
        </w:tc>
        <w:tc>
          <w:tcPr>
            <w:tcW w:w="1305" w:type="dxa"/>
            <w:tcBorders>
              <w:left w:val="single" w:color="auto" w:sz="4" w:space="0"/>
            </w:tcBorders>
            <w:noWrap w:val="0"/>
            <w:vAlign w:val="center"/>
          </w:tcPr>
          <w:p>
            <w:pPr>
              <w:spacing w:line="400" w:lineRule="exact"/>
              <w:jc w:val="center"/>
              <w:rPr>
                <w:rFonts w:hint="eastAsia" w:ascii="仿宋_GB2312" w:eastAsia="仿宋_GB2312" w:cs="宋体"/>
                <w:b/>
                <w:bCs/>
                <w:sz w:val="30"/>
                <w:szCs w:val="30"/>
                <w:lang w:bidi="ar-SA"/>
              </w:rPr>
            </w:pPr>
            <w:r>
              <w:rPr>
                <w:rFonts w:hint="eastAsia" w:ascii="仿宋_GB2312" w:eastAsia="仿宋_GB2312" w:cs="宋体"/>
                <w:b/>
                <w:bCs/>
                <w:sz w:val="30"/>
                <w:szCs w:val="30"/>
                <w:lang w:bidi="ar-SA"/>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tcMar>
              <w:top w:w="15" w:type="dxa"/>
              <w:left w:w="108" w:type="dxa"/>
              <w:right w:w="108" w:type="dxa"/>
            </w:tcMar>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7</w:t>
            </w:r>
          </w:p>
        </w:tc>
        <w:tc>
          <w:tcPr>
            <w:tcW w:w="2477" w:type="dxa"/>
            <w:tcBorders>
              <w:right w:val="single" w:color="auto" w:sz="4" w:space="0"/>
            </w:tcBorders>
            <w:noWrap w:val="0"/>
            <w:tcMar>
              <w:top w:w="15" w:type="dxa"/>
              <w:left w:w="108" w:type="dxa"/>
              <w:right w:w="108" w:type="dxa"/>
            </w:tcMar>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 xml:space="preserve">顶板钢筋、人防设备预埋件验收 </w:t>
            </w:r>
          </w:p>
        </w:tc>
        <w:tc>
          <w:tcPr>
            <w:tcW w:w="3250" w:type="dxa"/>
            <w:tcBorders>
              <w:lef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表1-1-4、表1-5-1</w:t>
            </w:r>
          </w:p>
        </w:tc>
        <w:tc>
          <w:tcPr>
            <w:tcW w:w="1477" w:type="dxa"/>
            <w:tcBorders>
              <w:right w:val="single" w:color="auto" w:sz="4" w:space="0"/>
            </w:tcBorders>
            <w:noWrap w:val="0"/>
            <w:tcMar>
              <w:top w:w="15" w:type="dxa"/>
              <w:left w:w="108" w:type="dxa"/>
              <w:right w:w="108" w:type="dxa"/>
            </w:tcMar>
            <w:vAlign w:val="center"/>
          </w:tcPr>
          <w:p>
            <w:pPr>
              <w:spacing w:line="400" w:lineRule="exact"/>
              <w:jc w:val="center"/>
              <w:rPr>
                <w:rFonts w:hint="eastAsia" w:ascii="仿宋_GB2312" w:eastAsia="仿宋_GB2312" w:cs="宋体"/>
                <w:sz w:val="30"/>
                <w:szCs w:val="30"/>
                <w:lang w:bidi="ar-SA"/>
              </w:rPr>
            </w:pPr>
            <w:r>
              <w:rPr>
                <w:rFonts w:hint="eastAsia" w:ascii="仿宋_GB2312" w:eastAsia="仿宋_GB2312" w:cs="宋体"/>
                <w:sz w:val="30"/>
                <w:szCs w:val="30"/>
                <w:lang w:bidi="ar-SA"/>
              </w:rPr>
              <w:t>不定期</w:t>
            </w:r>
          </w:p>
          <w:p>
            <w:pPr>
              <w:spacing w:line="400" w:lineRule="exact"/>
              <w:jc w:val="center"/>
              <w:rPr>
                <w:rFonts w:hint="eastAsia" w:ascii="仿宋_GB2312" w:eastAsia="仿宋_GB2312" w:cs="Arial"/>
                <w:sz w:val="30"/>
                <w:szCs w:val="30"/>
                <w:lang w:bidi="ar-SA"/>
              </w:rPr>
            </w:pPr>
            <w:r>
              <w:rPr>
                <w:rFonts w:hint="eastAsia" w:ascii="仿宋_GB2312" w:eastAsia="仿宋_GB2312" w:cs="宋体"/>
                <w:sz w:val="30"/>
                <w:szCs w:val="30"/>
                <w:lang w:bidi="ar-SA"/>
              </w:rPr>
              <w:t>抽查</w:t>
            </w:r>
          </w:p>
        </w:tc>
        <w:tc>
          <w:tcPr>
            <w:tcW w:w="1305" w:type="dxa"/>
            <w:tcBorders>
              <w:left w:val="single" w:color="auto" w:sz="4" w:space="0"/>
            </w:tcBorders>
            <w:noWrap w:val="0"/>
            <w:vAlign w:val="center"/>
          </w:tcPr>
          <w:p>
            <w:pPr>
              <w:spacing w:line="400" w:lineRule="exact"/>
              <w:jc w:val="center"/>
              <w:rPr>
                <w:rFonts w:hint="eastAsia" w:ascii="仿宋_GB2312" w:eastAsia="仿宋_GB2312" w:cs="宋体"/>
                <w:sz w:val="30"/>
                <w:szCs w:val="30"/>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8</w:t>
            </w:r>
          </w:p>
        </w:tc>
        <w:tc>
          <w:tcPr>
            <w:tcW w:w="2477" w:type="dxa"/>
            <w:tcBorders>
              <w:righ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主体结构验收</w:t>
            </w:r>
          </w:p>
        </w:tc>
        <w:tc>
          <w:tcPr>
            <w:tcW w:w="3250" w:type="dxa"/>
            <w:tcBorders>
              <w:lef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表2-1、表2-2、YB1、YB2</w:t>
            </w:r>
          </w:p>
        </w:tc>
        <w:tc>
          <w:tcPr>
            <w:tcW w:w="1477" w:type="dxa"/>
            <w:tcBorders>
              <w:right w:val="single" w:color="auto" w:sz="4" w:space="0"/>
            </w:tcBorders>
            <w:noWrap w:val="0"/>
            <w:vAlign w:val="center"/>
          </w:tcPr>
          <w:p>
            <w:pPr>
              <w:spacing w:line="400" w:lineRule="exact"/>
              <w:jc w:val="center"/>
              <w:rPr>
                <w:rFonts w:hint="eastAsia" w:ascii="仿宋_GB2312" w:eastAsia="仿宋_GB2312" w:cs="宋体"/>
                <w:sz w:val="30"/>
                <w:szCs w:val="30"/>
                <w:lang w:bidi="ar-SA"/>
              </w:rPr>
            </w:pPr>
            <w:r>
              <w:rPr>
                <w:rFonts w:hint="eastAsia" w:ascii="仿宋_GB2312" w:eastAsia="仿宋_GB2312" w:cs="宋体"/>
                <w:sz w:val="30"/>
                <w:szCs w:val="30"/>
                <w:lang w:bidi="ar-SA"/>
              </w:rPr>
              <w:t>不定期</w:t>
            </w:r>
          </w:p>
          <w:p>
            <w:pPr>
              <w:spacing w:line="400" w:lineRule="exact"/>
              <w:jc w:val="center"/>
              <w:rPr>
                <w:rFonts w:hint="eastAsia" w:ascii="仿宋_GB2312" w:eastAsia="仿宋_GB2312" w:cs="宋体"/>
                <w:sz w:val="30"/>
                <w:szCs w:val="30"/>
                <w:lang w:bidi="ar-SA"/>
              </w:rPr>
            </w:pPr>
            <w:r>
              <w:rPr>
                <w:rFonts w:hint="eastAsia" w:ascii="仿宋_GB2312" w:eastAsia="仿宋_GB2312" w:cs="宋体"/>
                <w:sz w:val="30"/>
                <w:szCs w:val="30"/>
                <w:lang w:bidi="ar-SA"/>
              </w:rPr>
              <w:t>抽查</w:t>
            </w:r>
          </w:p>
        </w:tc>
        <w:tc>
          <w:tcPr>
            <w:tcW w:w="1305" w:type="dxa"/>
            <w:tcBorders>
              <w:left w:val="single" w:color="auto" w:sz="4" w:space="0"/>
            </w:tcBorders>
            <w:noWrap w:val="0"/>
            <w:vAlign w:val="center"/>
          </w:tcPr>
          <w:p>
            <w:pPr>
              <w:spacing w:line="400" w:lineRule="exact"/>
              <w:jc w:val="center"/>
              <w:rPr>
                <w:rFonts w:hint="eastAsia" w:ascii="仿宋_GB2312" w:eastAsia="仿宋_GB2312" w:cs="宋体"/>
                <w:sz w:val="30"/>
                <w:szCs w:val="30"/>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9</w:t>
            </w:r>
          </w:p>
        </w:tc>
        <w:tc>
          <w:tcPr>
            <w:tcW w:w="2477" w:type="dxa"/>
            <w:tcBorders>
              <w:righ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孔口防护设备安装验收</w:t>
            </w:r>
          </w:p>
        </w:tc>
        <w:tc>
          <w:tcPr>
            <w:tcW w:w="3250" w:type="dxa"/>
            <w:tcBorders>
              <w:lef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表1-2-3、表1-2-4、表1-4-3、表1-4-4、表1-4-5</w:t>
            </w:r>
          </w:p>
        </w:tc>
        <w:tc>
          <w:tcPr>
            <w:tcW w:w="1477" w:type="dxa"/>
            <w:tcBorders>
              <w:right w:val="single" w:color="auto" w:sz="4" w:space="0"/>
            </w:tcBorders>
            <w:noWrap w:val="0"/>
            <w:vAlign w:val="center"/>
          </w:tcPr>
          <w:p>
            <w:pPr>
              <w:spacing w:line="400" w:lineRule="exact"/>
              <w:jc w:val="center"/>
              <w:rPr>
                <w:rFonts w:hint="eastAsia" w:ascii="仿宋_GB2312" w:eastAsia="仿宋_GB2312" w:cs="宋体"/>
                <w:sz w:val="30"/>
                <w:szCs w:val="30"/>
                <w:lang w:bidi="ar-SA"/>
              </w:rPr>
            </w:pPr>
            <w:r>
              <w:rPr>
                <w:rFonts w:hint="eastAsia" w:ascii="仿宋_GB2312" w:eastAsia="仿宋_GB2312" w:cs="宋体"/>
                <w:sz w:val="30"/>
                <w:szCs w:val="30"/>
                <w:lang w:bidi="ar-SA"/>
              </w:rPr>
              <w:t>不定期</w:t>
            </w:r>
          </w:p>
          <w:p>
            <w:pPr>
              <w:spacing w:line="400" w:lineRule="exact"/>
              <w:jc w:val="center"/>
              <w:rPr>
                <w:rFonts w:hint="eastAsia" w:ascii="仿宋_GB2312" w:eastAsia="仿宋_GB2312" w:cs="宋体"/>
                <w:sz w:val="30"/>
                <w:szCs w:val="30"/>
                <w:lang w:bidi="ar-SA"/>
              </w:rPr>
            </w:pPr>
            <w:r>
              <w:rPr>
                <w:rFonts w:hint="eastAsia" w:ascii="仿宋_GB2312" w:eastAsia="仿宋_GB2312" w:cs="宋体"/>
                <w:sz w:val="30"/>
                <w:szCs w:val="30"/>
                <w:lang w:bidi="ar-SA"/>
              </w:rPr>
              <w:t>抽查</w:t>
            </w:r>
          </w:p>
        </w:tc>
        <w:tc>
          <w:tcPr>
            <w:tcW w:w="1305" w:type="dxa"/>
            <w:tcBorders>
              <w:left w:val="single" w:color="auto" w:sz="4" w:space="0"/>
            </w:tcBorders>
            <w:noWrap w:val="0"/>
            <w:vAlign w:val="center"/>
          </w:tcPr>
          <w:p>
            <w:pPr>
              <w:spacing w:line="400" w:lineRule="exact"/>
              <w:jc w:val="center"/>
              <w:rPr>
                <w:rFonts w:hint="eastAsia" w:ascii="仿宋_GB2312" w:eastAsia="仿宋_GB2312" w:cs="宋体"/>
                <w:sz w:val="30"/>
                <w:szCs w:val="30"/>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45" w:hRule="atLeast"/>
        </w:trPr>
        <w:tc>
          <w:tcPr>
            <w:tcW w:w="516" w:type="dxa"/>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10</w:t>
            </w:r>
          </w:p>
        </w:tc>
        <w:tc>
          <w:tcPr>
            <w:tcW w:w="2477" w:type="dxa"/>
            <w:tcBorders>
              <w:righ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战时给排水、通风、电气系统验收</w:t>
            </w:r>
          </w:p>
        </w:tc>
        <w:tc>
          <w:tcPr>
            <w:tcW w:w="3250" w:type="dxa"/>
            <w:tcBorders>
              <w:left w:val="single" w:color="auto" w:sz="4" w:space="0"/>
            </w:tcBorders>
            <w:noWrap w:val="0"/>
            <w:vAlign w:val="center"/>
          </w:tcPr>
          <w:p>
            <w:pPr>
              <w:spacing w:line="400" w:lineRule="exact"/>
              <w:jc w:val="left"/>
              <w:rPr>
                <w:rFonts w:hint="eastAsia" w:ascii="仿宋_GB2312" w:eastAsia="仿宋_GB2312" w:cs="Arial"/>
                <w:sz w:val="30"/>
                <w:szCs w:val="30"/>
                <w:lang w:bidi="ar-SA"/>
              </w:rPr>
            </w:pPr>
            <w:r>
              <w:rPr>
                <w:rFonts w:hint="eastAsia" w:ascii="仿宋_GB2312" w:eastAsia="仿宋_GB2312" w:cs="Arial"/>
                <w:sz w:val="30"/>
                <w:szCs w:val="30"/>
                <w:lang w:bidi="ar-SA"/>
              </w:rPr>
              <w:t>表1-3-3、表1-3-4、表1-4-1、表1-4-2、表1-4-6、表1-5-1、表2-3、表2-4、表2-5、YB3、YB4、YB5</w:t>
            </w:r>
          </w:p>
        </w:tc>
        <w:tc>
          <w:tcPr>
            <w:tcW w:w="1477" w:type="dxa"/>
            <w:tcBorders>
              <w:right w:val="single" w:color="auto" w:sz="4" w:space="0"/>
            </w:tcBorders>
            <w:noWrap w:val="0"/>
            <w:vAlign w:val="center"/>
          </w:tcPr>
          <w:p>
            <w:pPr>
              <w:spacing w:line="400" w:lineRule="exact"/>
              <w:jc w:val="center"/>
              <w:rPr>
                <w:rFonts w:hint="eastAsia" w:ascii="仿宋_GB2312" w:eastAsia="仿宋_GB2312" w:cs="宋体"/>
                <w:sz w:val="30"/>
                <w:szCs w:val="30"/>
                <w:lang w:bidi="ar-SA"/>
              </w:rPr>
            </w:pPr>
            <w:r>
              <w:rPr>
                <w:rFonts w:hint="eastAsia" w:ascii="仿宋_GB2312" w:eastAsia="仿宋_GB2312" w:cs="宋体"/>
                <w:sz w:val="30"/>
                <w:szCs w:val="30"/>
                <w:lang w:bidi="ar-SA"/>
              </w:rPr>
              <w:t>不定期</w:t>
            </w:r>
          </w:p>
          <w:p>
            <w:pPr>
              <w:spacing w:line="400" w:lineRule="exact"/>
              <w:jc w:val="center"/>
              <w:rPr>
                <w:rFonts w:hint="eastAsia" w:ascii="仿宋_GB2312" w:eastAsia="仿宋_GB2312" w:cs="宋体"/>
                <w:sz w:val="30"/>
                <w:szCs w:val="30"/>
                <w:lang w:bidi="ar-SA"/>
              </w:rPr>
            </w:pPr>
            <w:r>
              <w:rPr>
                <w:rFonts w:hint="eastAsia" w:ascii="仿宋_GB2312" w:eastAsia="仿宋_GB2312" w:cs="宋体"/>
                <w:sz w:val="30"/>
                <w:szCs w:val="30"/>
                <w:lang w:bidi="ar-SA"/>
              </w:rPr>
              <w:t>抽查</w:t>
            </w:r>
          </w:p>
        </w:tc>
        <w:tc>
          <w:tcPr>
            <w:tcW w:w="1305" w:type="dxa"/>
            <w:tcBorders>
              <w:left w:val="single" w:color="auto" w:sz="4" w:space="0"/>
            </w:tcBorders>
            <w:noWrap w:val="0"/>
            <w:vAlign w:val="center"/>
          </w:tcPr>
          <w:p>
            <w:pPr>
              <w:spacing w:line="400" w:lineRule="exact"/>
              <w:jc w:val="center"/>
              <w:rPr>
                <w:rFonts w:hint="eastAsia" w:ascii="仿宋_GB2312" w:eastAsia="仿宋_GB2312" w:cs="宋体"/>
                <w:sz w:val="30"/>
                <w:szCs w:val="30"/>
                <w:lang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516" w:type="dxa"/>
            <w:noWrap w:val="0"/>
            <w:vAlign w:val="center"/>
          </w:tcPr>
          <w:p>
            <w:pPr>
              <w:spacing w:line="400" w:lineRule="exact"/>
              <w:jc w:val="center"/>
              <w:rPr>
                <w:rFonts w:hint="eastAsia" w:ascii="仿宋_GB2312" w:eastAsia="仿宋_GB2312"/>
                <w:sz w:val="30"/>
                <w:szCs w:val="30"/>
              </w:rPr>
            </w:pPr>
            <w:r>
              <w:rPr>
                <w:rFonts w:hint="eastAsia" w:ascii="仿宋_GB2312" w:eastAsia="仿宋_GB2312"/>
                <w:sz w:val="30"/>
                <w:szCs w:val="30"/>
              </w:rPr>
              <w:t>11</w:t>
            </w:r>
          </w:p>
        </w:tc>
        <w:tc>
          <w:tcPr>
            <w:tcW w:w="2477" w:type="dxa"/>
            <w:tcBorders>
              <w:right w:val="single" w:color="auto" w:sz="4" w:space="0"/>
            </w:tcBorders>
            <w:noWrap w:val="0"/>
            <w:vAlign w:val="center"/>
          </w:tcPr>
          <w:p>
            <w:pPr>
              <w:spacing w:line="400" w:lineRule="exact"/>
              <w:jc w:val="center"/>
              <w:rPr>
                <w:rFonts w:hint="eastAsia" w:ascii="仿宋_GB2312" w:eastAsia="仿宋_GB2312" w:cs="Arial"/>
                <w:sz w:val="30"/>
                <w:szCs w:val="30"/>
                <w:lang w:bidi="ar-SA"/>
              </w:rPr>
            </w:pPr>
            <w:r>
              <w:rPr>
                <w:rFonts w:hint="eastAsia" w:ascii="仿宋_GB2312" w:eastAsia="仿宋_GB2312" w:cs="宋体"/>
                <w:sz w:val="30"/>
                <w:szCs w:val="30"/>
                <w:lang w:bidi="ar-SA"/>
              </w:rPr>
              <w:t>竣工验收</w:t>
            </w:r>
          </w:p>
        </w:tc>
        <w:tc>
          <w:tcPr>
            <w:tcW w:w="3250" w:type="dxa"/>
            <w:tcBorders>
              <w:left w:val="single" w:color="auto" w:sz="4" w:space="0"/>
            </w:tcBorders>
            <w:noWrap w:val="0"/>
            <w:vAlign w:val="center"/>
          </w:tcPr>
          <w:p>
            <w:pPr>
              <w:spacing w:line="400" w:lineRule="exact"/>
              <w:jc w:val="left"/>
              <w:rPr>
                <w:rFonts w:hint="eastAsia" w:ascii="仿宋_GB2312" w:eastAsia="仿宋_GB2312" w:cs="宋体"/>
                <w:sz w:val="30"/>
                <w:szCs w:val="30"/>
                <w:lang w:bidi="ar-SA"/>
              </w:rPr>
            </w:pPr>
            <w:r>
              <w:rPr>
                <w:rFonts w:hint="eastAsia" w:ascii="仿宋_GB2312" w:eastAsia="仿宋_GB2312" w:cs="Arial"/>
                <w:sz w:val="30"/>
                <w:szCs w:val="30"/>
                <w:lang w:bidi="ar-SA"/>
              </w:rPr>
              <w:t>表3-1、表3-2、表3-3</w:t>
            </w:r>
          </w:p>
        </w:tc>
        <w:tc>
          <w:tcPr>
            <w:tcW w:w="1477" w:type="dxa"/>
            <w:tcBorders>
              <w:right w:val="single" w:color="auto" w:sz="4" w:space="0"/>
            </w:tcBorders>
            <w:noWrap w:val="0"/>
            <w:vAlign w:val="center"/>
          </w:tcPr>
          <w:p>
            <w:pPr>
              <w:spacing w:line="400" w:lineRule="exact"/>
              <w:jc w:val="center"/>
              <w:rPr>
                <w:rFonts w:hint="eastAsia" w:ascii="仿宋_GB2312" w:eastAsia="仿宋_GB2312" w:cs="Arial"/>
                <w:b/>
                <w:bCs/>
                <w:sz w:val="30"/>
                <w:szCs w:val="30"/>
                <w:lang w:bidi="ar-SA"/>
              </w:rPr>
            </w:pPr>
            <w:r>
              <w:rPr>
                <w:rFonts w:hint="eastAsia" w:ascii="仿宋_GB2312" w:eastAsia="仿宋_GB2312" w:cs="宋体"/>
                <w:b/>
                <w:bCs/>
                <w:sz w:val="30"/>
                <w:szCs w:val="30"/>
                <w:lang w:bidi="ar-SA"/>
              </w:rPr>
              <w:t>专项检查</w:t>
            </w:r>
          </w:p>
        </w:tc>
        <w:tc>
          <w:tcPr>
            <w:tcW w:w="1305" w:type="dxa"/>
            <w:tcBorders>
              <w:left w:val="single" w:color="auto" w:sz="4" w:space="0"/>
            </w:tcBorders>
            <w:noWrap w:val="0"/>
            <w:vAlign w:val="center"/>
          </w:tcPr>
          <w:p>
            <w:pPr>
              <w:spacing w:line="400" w:lineRule="exact"/>
              <w:jc w:val="center"/>
              <w:rPr>
                <w:rFonts w:hint="eastAsia" w:ascii="仿宋_GB2312" w:eastAsia="仿宋_GB2312" w:cs="宋体"/>
                <w:b/>
                <w:bCs/>
                <w:sz w:val="30"/>
                <w:szCs w:val="30"/>
                <w:lang w:bidi="ar-SA"/>
              </w:rPr>
            </w:pPr>
            <w:r>
              <w:rPr>
                <w:rFonts w:hint="eastAsia" w:ascii="仿宋_GB2312" w:eastAsia="仿宋_GB2312" w:cs="宋体"/>
                <w:b/>
                <w:bCs/>
                <w:sz w:val="30"/>
                <w:szCs w:val="30"/>
                <w:lang w:bidi="ar-SA"/>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0" w:hRule="atLeast"/>
        </w:trPr>
        <w:tc>
          <w:tcPr>
            <w:tcW w:w="9025" w:type="dxa"/>
            <w:gridSpan w:val="5"/>
            <w:noWrap w:val="0"/>
            <w:vAlign w:val="top"/>
          </w:tcPr>
          <w:p>
            <w:pPr>
              <w:spacing w:line="500" w:lineRule="exact"/>
              <w:rPr>
                <w:rFonts w:hint="eastAsia" w:ascii="仿宋_GB2312" w:eastAsia="仿宋_GB2312" w:cs="宋体"/>
                <w:sz w:val="30"/>
                <w:szCs w:val="30"/>
                <w:lang w:bidi="ar-SA"/>
              </w:rPr>
            </w:pPr>
            <w:r>
              <w:rPr>
                <w:rFonts w:hint="eastAsia" w:ascii="仿宋_GB2312" w:eastAsia="仿宋_GB2312" w:cs="宋体"/>
                <w:sz w:val="30"/>
                <w:szCs w:val="30"/>
                <w:lang w:bidi="ar-SA"/>
              </w:rPr>
              <w:t>注：1.</w:t>
            </w:r>
            <w:r>
              <w:rPr>
                <w:rFonts w:hint="eastAsia" w:ascii="仿宋_GB2312" w:eastAsia="仿宋_GB2312"/>
                <w:sz w:val="30"/>
                <w:szCs w:val="30"/>
              </w:rPr>
              <w:t>监</w:t>
            </w:r>
            <w:r>
              <w:rPr>
                <w:rFonts w:hint="eastAsia" w:ascii="仿宋_GB2312" w:eastAsia="仿宋_GB2312" w:cs="宋体"/>
                <w:sz w:val="30"/>
                <w:szCs w:val="30"/>
                <w:lang w:bidi="ar-SA"/>
              </w:rPr>
              <w:t>理单位对以上节点的相关分项工程或设备进场检查合格后，同步拍取相关施工节点图像资料，形成《人防工程质量控制点检查图像资料记录表》，发送到</w:t>
            </w:r>
            <w:r>
              <w:rPr>
                <w:rFonts w:hint="eastAsia" w:ascii="仿宋_GB2312" w:eastAsia="仿宋_GB2312"/>
                <w:sz w:val="30"/>
                <w:szCs w:val="30"/>
              </w:rPr>
              <w:t>人防工程</w:t>
            </w:r>
            <w:r>
              <w:rPr>
                <w:rFonts w:hint="eastAsia" w:ascii="仿宋_GB2312" w:eastAsia="仿宋_GB2312" w:cs="宋体"/>
                <w:sz w:val="30"/>
                <w:szCs w:val="30"/>
                <w:lang w:bidi="ar-SA"/>
              </w:rPr>
              <w:t>质量监督机构的电子邮箱；</w:t>
            </w:r>
          </w:p>
          <w:p>
            <w:pPr>
              <w:spacing w:line="500" w:lineRule="exact"/>
              <w:rPr>
                <w:rFonts w:hint="eastAsia" w:ascii="仿宋_GB2312" w:eastAsia="仿宋_GB2312" w:cs="宋体"/>
                <w:sz w:val="30"/>
                <w:szCs w:val="30"/>
                <w:lang w:bidi="ar-SA"/>
              </w:rPr>
            </w:pPr>
            <w:r>
              <w:rPr>
                <w:rFonts w:hint="eastAsia" w:ascii="仿宋_GB2312" w:eastAsia="仿宋_GB2312" w:cs="宋体"/>
                <w:sz w:val="30"/>
                <w:szCs w:val="30"/>
                <w:lang w:bidi="ar-SA"/>
              </w:rPr>
              <w:t>2.</w:t>
            </w:r>
            <w:r>
              <w:rPr>
                <w:rFonts w:hint="eastAsia" w:ascii="仿宋_GB2312" w:eastAsia="仿宋_GB2312"/>
                <w:sz w:val="30"/>
                <w:szCs w:val="30"/>
              </w:rPr>
              <w:t>人防工程</w:t>
            </w:r>
            <w:r>
              <w:rPr>
                <w:rFonts w:hint="eastAsia" w:ascii="仿宋_GB2312" w:eastAsia="仿宋_GB2312" w:cs="宋体"/>
                <w:sz w:val="30"/>
                <w:szCs w:val="30"/>
                <w:lang w:bidi="ar-SA"/>
              </w:rPr>
              <w:t>质量监督机构在1个工作日内完成对专项检查节点质量电子文档的审查，并在规定验收时间内提出审查意见。规定验收时间内</w:t>
            </w:r>
            <w:r>
              <w:rPr>
                <w:rFonts w:hint="eastAsia" w:ascii="仿宋_GB2312" w:eastAsia="仿宋_GB2312"/>
                <w:sz w:val="30"/>
                <w:szCs w:val="30"/>
              </w:rPr>
              <w:t>人防工程</w:t>
            </w:r>
            <w:r>
              <w:rPr>
                <w:rFonts w:hint="eastAsia" w:ascii="仿宋_GB2312" w:eastAsia="仿宋_GB2312" w:cs="宋体"/>
                <w:sz w:val="30"/>
                <w:szCs w:val="30"/>
                <w:lang w:bidi="ar-SA"/>
              </w:rPr>
              <w:t>质量监督机构既未提出审查意见，又未到施工现场进行监督检查的，专项检查节点视为验收通过；</w:t>
            </w:r>
          </w:p>
          <w:p>
            <w:pPr>
              <w:spacing w:line="500" w:lineRule="exact"/>
              <w:rPr>
                <w:rFonts w:hint="eastAsia" w:ascii="仿宋_GB2312" w:eastAsia="仿宋_GB2312"/>
                <w:kern w:val="0"/>
                <w:sz w:val="30"/>
                <w:szCs w:val="30"/>
              </w:rPr>
            </w:pPr>
            <w:r>
              <w:rPr>
                <w:rFonts w:hint="eastAsia" w:ascii="仿宋_GB2312" w:eastAsia="仿宋_GB2312" w:cs="宋体"/>
                <w:sz w:val="30"/>
                <w:szCs w:val="30"/>
                <w:lang w:bidi="ar-SA"/>
              </w:rPr>
              <w:t>3.当同一专项检查节点需要多批次施工时，除第一批次施工采用必检外，其余批次列为</w:t>
            </w:r>
            <w:r>
              <w:rPr>
                <w:rFonts w:hint="eastAsia" w:ascii="仿宋_GB2312" w:eastAsia="仿宋_GB2312"/>
                <w:sz w:val="30"/>
                <w:szCs w:val="30"/>
              </w:rPr>
              <w:t>每</w:t>
            </w:r>
            <w:r>
              <w:rPr>
                <w:rFonts w:hint="eastAsia" w:ascii="仿宋_GB2312" w:eastAsia="仿宋_GB2312"/>
                <w:sz w:val="30"/>
                <w:szCs w:val="30"/>
                <w:lang w:eastAsia="zh-CN"/>
              </w:rPr>
              <w:t>半年</w:t>
            </w:r>
            <w:r>
              <w:rPr>
                <w:rFonts w:hint="eastAsia" w:ascii="仿宋_GB2312" w:eastAsia="仿宋_GB2312" w:cs="宋体"/>
                <w:sz w:val="30"/>
                <w:szCs w:val="30"/>
                <w:lang w:bidi="ar-SA"/>
              </w:rPr>
              <w:t>不定期抽查节点。</w:t>
            </w:r>
          </w:p>
        </w:tc>
      </w:tr>
    </w:tbl>
    <w:p>
      <w:pPr>
        <w:spacing w:line="600" w:lineRule="exact"/>
        <w:ind w:firstLine="643" w:firstLineChars="200"/>
        <w:rPr>
          <w:rFonts w:hint="eastAsia" w:ascii="仿宋_GB2312" w:eastAsia="仿宋_GB2312"/>
          <w:sz w:val="32"/>
          <w:szCs w:val="32"/>
          <w:shd w:val="clear" w:color="auto" w:fill="FFFFFF"/>
        </w:rPr>
      </w:pPr>
      <w:r>
        <w:rPr>
          <w:rFonts w:hint="eastAsia" w:ascii="仿宋_GB2312" w:eastAsia="仿宋_GB2312" w:cs="宋体"/>
          <w:b/>
          <w:bCs/>
          <w:sz w:val="32"/>
          <w:szCs w:val="32"/>
          <w:lang w:bidi="ar-SA"/>
        </w:rPr>
        <w:t>2.质量监督检查内容</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sz w:val="32"/>
          <w:szCs w:val="32"/>
        </w:rPr>
        <w:t>⑴核查</w:t>
      </w:r>
      <w:r>
        <w:rPr>
          <w:rFonts w:hint="eastAsia" w:ascii="仿宋_GB2312" w:eastAsia="仿宋_GB2312" w:cs="宋体"/>
          <w:sz w:val="32"/>
          <w:szCs w:val="32"/>
          <w:lang w:bidi="ar-SA"/>
        </w:rPr>
        <w:t>实体质量、质保资料情况；</w:t>
      </w:r>
    </w:p>
    <w:p>
      <w:pPr>
        <w:spacing w:line="600" w:lineRule="exact"/>
        <w:ind w:firstLine="640" w:firstLineChars="200"/>
        <w:rPr>
          <w:rFonts w:hint="eastAsia" w:ascii="仿宋_GB2312" w:eastAsia="仿宋_GB2312"/>
          <w:sz w:val="32"/>
          <w:szCs w:val="32"/>
        </w:rPr>
      </w:pPr>
      <w:r>
        <w:rPr>
          <w:rFonts w:hint="eastAsia" w:ascii="仿宋_GB2312" w:eastAsia="仿宋_GB2312" w:cs="宋体"/>
          <w:sz w:val="32"/>
          <w:szCs w:val="32"/>
          <w:lang w:bidi="ar-SA"/>
        </w:rPr>
        <w:t>⑵</w:t>
      </w:r>
      <w:r>
        <w:rPr>
          <w:rFonts w:hint="eastAsia" w:ascii="仿宋_GB2312" w:eastAsia="仿宋_GB2312"/>
          <w:sz w:val="32"/>
          <w:szCs w:val="32"/>
        </w:rPr>
        <w:t>对人防工程质量执行标准，验收组织形式、程序、内容等进行监督检查；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⑶对监理单位人员到位情况、监理资料等进行监督检查；</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sz w:val="32"/>
          <w:szCs w:val="32"/>
        </w:rPr>
        <w:t>⑷参建各方质量行为、质量责任制履行情况及质量保证体系完善情况监督检查。</w:t>
      </w:r>
    </w:p>
    <w:p>
      <w:pPr>
        <w:spacing w:line="600" w:lineRule="exact"/>
        <w:ind w:firstLine="643" w:firstLineChars="200"/>
        <w:rPr>
          <w:rFonts w:hint="eastAsia" w:ascii="楷体_GB2312" w:eastAsia="楷体_GB2312" w:cs="宋体"/>
          <w:b/>
          <w:bCs/>
          <w:sz w:val="32"/>
          <w:szCs w:val="32"/>
          <w:lang w:bidi="ar-SA"/>
        </w:rPr>
      </w:pPr>
      <w:r>
        <w:rPr>
          <w:rFonts w:hint="eastAsia" w:ascii="楷体_GB2312" w:eastAsia="楷体_GB2312" w:cs="宋体"/>
          <w:b/>
          <w:bCs/>
          <w:sz w:val="32"/>
          <w:szCs w:val="32"/>
          <w:lang w:bidi="ar-SA"/>
        </w:rPr>
        <w:t>（三）竣工监督</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1.工程竣工验收前3个工作日，建设单位应以书面形式将竣工验收的时间、地点及验收组名单报人防工程质量监督机构，通知人防工程质量监督机构参加竣工验收；</w:t>
      </w:r>
    </w:p>
    <w:p>
      <w:pPr>
        <w:spacing w:line="600" w:lineRule="exact"/>
        <w:ind w:firstLine="640" w:firstLineChars="200"/>
        <w:rPr>
          <w:rFonts w:hint="eastAsia" w:ascii="仿宋_GB2312" w:eastAsia="仿宋_GB2312" w:cs="宋体"/>
          <w:strike/>
          <w:sz w:val="32"/>
          <w:szCs w:val="32"/>
          <w:lang w:bidi="ar-SA"/>
        </w:rPr>
      </w:pPr>
      <w:r>
        <w:rPr>
          <w:rFonts w:hint="eastAsia" w:ascii="仿宋_GB2312" w:eastAsia="仿宋_GB2312" w:cs="宋体"/>
          <w:sz w:val="32"/>
          <w:szCs w:val="32"/>
          <w:lang w:bidi="ar-SA"/>
        </w:rPr>
        <w:t>2.</w:t>
      </w:r>
      <w:r>
        <w:rPr>
          <w:rFonts w:hint="eastAsia" w:ascii="仿宋_GB2312" w:eastAsia="仿宋_GB2312"/>
          <w:sz w:val="32"/>
          <w:szCs w:val="32"/>
        </w:rPr>
        <w:t>人防工程</w:t>
      </w:r>
      <w:r>
        <w:rPr>
          <w:rFonts w:hint="eastAsia" w:ascii="仿宋_GB2312" w:eastAsia="仿宋_GB2312" w:cs="宋体"/>
          <w:sz w:val="32"/>
          <w:szCs w:val="32"/>
          <w:shd w:val="clear" w:color="auto" w:fill="FFFFFF"/>
          <w:lang w:bidi="ar-SA"/>
        </w:rPr>
        <w:t>质量监督机构参加</w:t>
      </w:r>
      <w:r>
        <w:rPr>
          <w:rFonts w:hint="eastAsia" w:ascii="仿宋_GB2312" w:eastAsia="仿宋_GB2312" w:cs="宋体"/>
          <w:sz w:val="32"/>
          <w:szCs w:val="32"/>
          <w:lang w:bidi="ar-SA"/>
        </w:rPr>
        <w:t>竣工</w:t>
      </w:r>
      <w:r>
        <w:rPr>
          <w:rFonts w:hint="eastAsia" w:ascii="仿宋_GB2312" w:eastAsia="仿宋_GB2312" w:cs="宋体"/>
          <w:sz w:val="32"/>
          <w:szCs w:val="32"/>
          <w:shd w:val="clear" w:color="auto" w:fill="FFFFFF"/>
          <w:lang w:bidi="ar-SA"/>
        </w:rPr>
        <w:t>验收</w:t>
      </w:r>
      <w:r>
        <w:rPr>
          <w:rFonts w:hint="eastAsia" w:ascii="仿宋_GB2312" w:eastAsia="仿宋_GB2312" w:cs="宋体"/>
          <w:sz w:val="32"/>
          <w:szCs w:val="32"/>
          <w:shd w:val="clear" w:color="auto" w:fill="FFFFFF"/>
          <w:lang w:eastAsia="zh-CN" w:bidi="ar-SA"/>
        </w:rPr>
        <w:t>，</w:t>
      </w:r>
      <w:r>
        <w:rPr>
          <w:rFonts w:hint="eastAsia" w:ascii="仿宋_GB2312" w:eastAsia="仿宋_GB2312" w:cs="宋体"/>
          <w:sz w:val="32"/>
          <w:szCs w:val="32"/>
          <w:lang w:bidi="ar-SA"/>
        </w:rPr>
        <w:t>对人防工程竣工验收的组织形式、程序等是否符合相关规定和验收结论是否明确进行监督，形成《人防工程竣工验收监督记录表》；</w:t>
      </w:r>
    </w:p>
    <w:p>
      <w:pPr>
        <w:spacing w:line="600" w:lineRule="exact"/>
        <w:ind w:firstLine="640" w:firstLineChars="200"/>
        <w:rPr>
          <w:rFonts w:hint="eastAsia" w:ascii="仿宋_GB2312" w:eastAsia="仿宋_GB2312" w:cs="宋体"/>
          <w:strike/>
          <w:sz w:val="32"/>
          <w:szCs w:val="32"/>
          <w:lang w:bidi="ar-SA"/>
        </w:rPr>
      </w:pPr>
      <w:r>
        <w:rPr>
          <w:rFonts w:hint="eastAsia" w:ascii="仿宋_GB2312" w:eastAsia="仿宋_GB2312" w:cs="宋体"/>
          <w:sz w:val="32"/>
          <w:szCs w:val="32"/>
          <w:lang w:bidi="ar-SA"/>
        </w:rPr>
        <w:t>3.人防工程验收合格的，建设单位应将签章完整、结论明确的《人防工程竣工验收报告》等竣工验收文件报人防工程质量监督机构。符合规定要求的，人防工程质量监督机构应出具《人防工程竣工验收资料收件单》，作为建设单位向人防主管部门申请人防工程竣工备案的依据。</w:t>
      </w:r>
    </w:p>
    <w:p>
      <w:pPr>
        <w:spacing w:line="600" w:lineRule="exact"/>
        <w:ind w:firstLine="640" w:firstLineChars="200"/>
        <w:rPr>
          <w:rFonts w:hint="eastAsia" w:ascii="黑体" w:eastAsia="黑体" w:cs="宋体"/>
          <w:bCs/>
          <w:sz w:val="32"/>
          <w:szCs w:val="32"/>
          <w:lang w:bidi="ar-SA"/>
        </w:rPr>
      </w:pPr>
      <w:r>
        <w:rPr>
          <w:rFonts w:hint="eastAsia" w:ascii="黑体" w:eastAsia="黑体" w:cs="宋体"/>
          <w:bCs/>
          <w:sz w:val="32"/>
          <w:szCs w:val="32"/>
          <w:lang w:bidi="ar-SA"/>
        </w:rPr>
        <w:t>五、质量监督要求</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一）施工单位和防护设备安装企业应编制人防工程专项施工组织设计，报监理单位审核。应根据人防工程施工验收规范等技术标准和经审查合格的施工图进行施工，按照《人民防空工程质量验收与评价标准》（RFJ01-2015）或福建省人防办下发的《防空地下室防护专项质量评定书》（</w:t>
      </w:r>
      <w:r>
        <w:rPr>
          <w:rFonts w:hint="eastAsia" w:ascii="仿宋_GB2312" w:eastAsia="仿宋_GB2312" w:cs="Arial"/>
          <w:sz w:val="32"/>
          <w:szCs w:val="32"/>
          <w:lang w:bidi="ar-SA"/>
        </w:rPr>
        <w:t>FJRFGCF-2015-0109</w:t>
      </w:r>
      <w:r>
        <w:rPr>
          <w:rFonts w:hint="eastAsia" w:ascii="仿宋_GB2312" w:eastAsia="仿宋_GB2312" w:cs="宋体"/>
          <w:sz w:val="32"/>
          <w:szCs w:val="32"/>
          <w:lang w:bidi="ar-SA"/>
        </w:rPr>
        <w:t>）要求，填报各项质量评定内业。</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二）承担人防工程建设监理单位和防护（化）设备生产安装企业应该具备国家规定的人防工程资质条件。满足人防工程资质条件的监理单位和防护（化）设备生产安装企业可在福建省人民防空办公室门户网站查询。</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（三）监理单位应根据人防工程质量控制点施工工序特点，拍取若干相关施工节点图像资料，形成《人防工程质量控制点检查图像资料记录表》，发送到人防工程质量监督机构公布的电子邮箱。</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（四）人防工程主体结构未验收，不得进行修补、粉刷；未通过竣工验收的工程，不得交付使用。</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（五）人防工程在建设过程中，发生严重质量问题及质量事故，监理单位应按规定及时向人防工程质量监督机构报告。</w:t>
      </w:r>
    </w:p>
    <w:p>
      <w:pPr>
        <w:spacing w:line="600" w:lineRule="exact"/>
        <w:ind w:firstLine="640" w:firstLineChars="200"/>
        <w:rPr>
          <w:rFonts w:hint="eastAsia" w:ascii="黑体" w:eastAsia="黑体" w:cs="宋体"/>
          <w:bCs/>
          <w:sz w:val="32"/>
          <w:szCs w:val="32"/>
          <w:lang w:bidi="ar-SA"/>
        </w:rPr>
      </w:pPr>
      <w:r>
        <w:rPr>
          <w:rFonts w:hint="eastAsia" w:ascii="黑体" w:eastAsia="黑体" w:cs="宋体"/>
          <w:bCs/>
          <w:sz w:val="32"/>
          <w:szCs w:val="32"/>
          <w:lang w:bidi="ar-SA"/>
        </w:rPr>
        <w:t>六、质量监督措施</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人防工程质量监督机构履行监督检查职责时，有权采取下列措施：</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（一）要求被检查单位提供有关人防工程质量的文件和资料；</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（二）进入被检查单位的人防工程施工现场进行检查；</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（三）发现有影响人防工程质量的问题时，</w:t>
      </w:r>
      <w:r>
        <w:rPr>
          <w:rFonts w:hint="eastAsia" w:ascii="仿宋_GB2312" w:eastAsia="仿宋_GB2312"/>
          <w:sz w:val="32"/>
          <w:szCs w:val="32"/>
        </w:rPr>
        <w:t>签发问题整改通知单，</w:t>
      </w:r>
      <w:r>
        <w:rPr>
          <w:rFonts w:hint="eastAsia" w:ascii="仿宋_GB2312" w:eastAsia="仿宋_GB2312" w:cs="宋体"/>
          <w:sz w:val="32"/>
          <w:szCs w:val="32"/>
          <w:lang w:bidi="ar-SA"/>
        </w:rPr>
        <w:t>责令责任单位整改，涉及</w:t>
      </w:r>
      <w:r>
        <w:rPr>
          <w:rFonts w:hint="eastAsia" w:ascii="仿宋_GB2312" w:eastAsia="仿宋_GB2312"/>
          <w:sz w:val="32"/>
          <w:szCs w:val="32"/>
        </w:rPr>
        <w:t>重大质量问题的，应签发停工单</w:t>
      </w:r>
      <w:r>
        <w:rPr>
          <w:rFonts w:hint="eastAsia" w:ascii="仿宋_GB2312" w:eastAsia="仿宋_GB2312" w:cs="宋体"/>
          <w:sz w:val="32"/>
          <w:szCs w:val="32"/>
          <w:lang w:bidi="ar-SA"/>
        </w:rPr>
        <w:t>。拒不执行的，报人防主管部门处罚；</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（四）</w:t>
      </w:r>
      <w:r>
        <w:rPr>
          <w:rFonts w:hint="eastAsia" w:ascii="仿宋_GB2312" w:eastAsia="仿宋_GB2312"/>
          <w:sz w:val="32"/>
          <w:szCs w:val="32"/>
        </w:rPr>
        <w:t>对未办理人防工程质量监督手续擅自建设的，责令建设单位限期整改，并检查工程施工质量情况。对于隐蔽工程未能提供质量检查或检验资料的，要求施工单位按有关规定进行建筑可靠性方面鉴定检测。</w:t>
      </w:r>
    </w:p>
    <w:p>
      <w:pPr>
        <w:spacing w:line="600" w:lineRule="exact"/>
        <w:ind w:firstLine="640" w:firstLineChars="200"/>
        <w:rPr>
          <w:rFonts w:hint="eastAsia" w:ascii="黑体" w:eastAsia="黑体" w:cs="宋体"/>
          <w:bCs/>
          <w:sz w:val="32"/>
          <w:szCs w:val="32"/>
          <w:lang w:bidi="ar-SA"/>
        </w:rPr>
      </w:pPr>
      <w:r>
        <w:rPr>
          <w:rFonts w:hint="eastAsia" w:ascii="黑体" w:eastAsia="黑体" w:cs="宋体"/>
          <w:bCs/>
          <w:sz w:val="32"/>
          <w:szCs w:val="32"/>
          <w:lang w:bidi="ar-SA"/>
        </w:rPr>
        <w:t>七、质量监督中资料报送电子邮箱：</w:t>
      </w:r>
    </w:p>
    <w:p>
      <w:pPr>
        <w:spacing w:line="600" w:lineRule="exact"/>
        <w:ind w:firstLine="640" w:firstLineChars="200"/>
        <w:rPr>
          <w:rFonts w:hint="eastAsia" w:ascii="黑体" w:eastAsia="黑体" w:cs="宋体"/>
          <w:bCs/>
          <w:sz w:val="32"/>
          <w:szCs w:val="32"/>
          <w:lang w:bidi="ar-SA"/>
        </w:rPr>
      </w:pPr>
      <w:r>
        <w:rPr>
          <w:rFonts w:hint="eastAsia" w:ascii="黑体" w:eastAsia="黑体" w:cs="宋体"/>
          <w:bCs/>
          <w:sz w:val="32"/>
          <w:szCs w:val="32"/>
          <w:lang w:bidi="ar-SA"/>
        </w:rPr>
        <w:t>八、质量监督人员（随机选派）：</w:t>
      </w:r>
    </w:p>
    <w:p>
      <w:pPr>
        <w:spacing w:line="600" w:lineRule="exact"/>
        <w:ind w:firstLine="640" w:firstLineChars="200"/>
        <w:rPr>
          <w:rFonts w:hint="eastAsia" w:ascii="黑体" w:eastAsia="黑体" w:cs="宋体"/>
          <w:bCs/>
          <w:sz w:val="32"/>
          <w:szCs w:val="32"/>
          <w:lang w:bidi="ar-SA"/>
        </w:rPr>
      </w:pPr>
      <w:r>
        <w:rPr>
          <w:rFonts w:hint="eastAsia" w:ascii="黑体" w:eastAsia="黑体" w:cs="宋体"/>
          <w:bCs/>
          <w:sz w:val="32"/>
          <w:szCs w:val="32"/>
          <w:lang w:bidi="ar-SA"/>
        </w:rPr>
        <w:t>九、公开办事制度</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质量监督人员在质量监督过程中，如有不作为、乱作为或其他滥用职权、徇私舞弊等行为的，请及时向本机构或人防主管部门举报，也可直接向当地政府效能办投诉。</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人防工程质量监督机构地址：</w:t>
      </w:r>
    </w:p>
    <w:p>
      <w:pPr>
        <w:spacing w:line="600" w:lineRule="exact"/>
        <w:ind w:firstLine="640" w:firstLineChars="200"/>
        <w:rPr>
          <w:rFonts w:hint="eastAsia" w:ascii="仿宋_GB2312" w:eastAsia="仿宋_GB2312" w:cs="宋体"/>
          <w:sz w:val="32"/>
          <w:szCs w:val="32"/>
          <w:lang w:bidi="ar-SA"/>
        </w:rPr>
      </w:pPr>
      <w:r>
        <w:rPr>
          <w:rFonts w:hint="eastAsia" w:ascii="仿宋_GB2312" w:eastAsia="仿宋_GB2312" w:cs="宋体"/>
          <w:sz w:val="32"/>
          <w:szCs w:val="32"/>
          <w:lang w:bidi="ar-SA"/>
        </w:rPr>
        <w:t xml:space="preserve">联系电话：     </w:t>
      </w:r>
    </w:p>
    <w:p>
      <w:pPr>
        <w:spacing w:line="600" w:lineRule="exact"/>
        <w:ind w:firstLine="640" w:firstLineChars="200"/>
      </w:pPr>
      <w:r>
        <w:rPr>
          <w:rFonts w:hint="eastAsia" w:ascii="仿宋_GB2312" w:eastAsia="仿宋_GB2312" w:cs="宋体"/>
          <w:sz w:val="32"/>
          <w:szCs w:val="32"/>
          <w:lang w:bidi="ar-SA"/>
        </w:rPr>
        <w:t>投诉电话：xxxxxxxx（人防工程质量监督机构）；xxxxxxxx（本级人防主管部门）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76A41"/>
    <w:rsid w:val="02B76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2023-08-02T07:41:00Z</dcterms:created>
  <dc:creator>朝阳。。</dc:creator>
  <cp:lastModifiedBy>朝阳。。</cp:lastModifiedBy>
  <dcterms:modified xsi:type="dcterms:W3CDTF">2023-08-02T07:41:45Z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